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468" w:type="dxa"/>
        <w:tblLook w:val="04A0" w:firstRow="1" w:lastRow="0" w:firstColumn="1" w:lastColumn="0" w:noHBand="0" w:noVBand="1"/>
      </w:tblPr>
      <w:tblGrid>
        <w:gridCol w:w="4410"/>
        <w:gridCol w:w="9990"/>
      </w:tblGrid>
      <w:tr w:rsidR="00503C42" w:rsidRPr="000D0F33" w14:paraId="381641E3"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12D6E9F9" w14:textId="77777777" w:rsidR="00503C42" w:rsidRPr="000D0F33" w:rsidRDefault="00503C42" w:rsidP="006C3FC4">
            <w:pPr>
              <w:rPr>
                <w:sz w:val="18"/>
                <w:szCs w:val="18"/>
              </w:rPr>
            </w:pPr>
            <w:r w:rsidRPr="000D0F33">
              <w:rPr>
                <w:color w:val="FF0000"/>
                <w:sz w:val="18"/>
                <w:szCs w:val="18"/>
              </w:rPr>
              <w:br w:type="page"/>
            </w:r>
            <w:r w:rsidRPr="000D0F33">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59DAC076" w14:textId="77777777" w:rsidR="00503C42" w:rsidRPr="000D0F33" w:rsidRDefault="00503C42" w:rsidP="006C3FC4">
            <w:pPr>
              <w:ind w:right="432"/>
              <w:rPr>
                <w:sz w:val="18"/>
                <w:szCs w:val="18"/>
              </w:rPr>
            </w:pPr>
            <w:r w:rsidRPr="000D0F33">
              <w:rPr>
                <w:sz w:val="18"/>
                <w:szCs w:val="18"/>
              </w:rPr>
              <w:t xml:space="preserve">J.P. Morgan AG (549300ZK53CNGEEI6A29) </w:t>
            </w:r>
          </w:p>
        </w:tc>
      </w:tr>
      <w:tr w:rsidR="00503C42" w:rsidRPr="000D0F33" w14:paraId="14788CB0"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48EA8532" w14:textId="77777777" w:rsidR="00503C42" w:rsidRPr="000D0F33" w:rsidRDefault="00503C42" w:rsidP="006C3FC4">
            <w:pPr>
              <w:rPr>
                <w:sz w:val="18"/>
                <w:szCs w:val="18"/>
              </w:rPr>
            </w:pPr>
            <w:r w:rsidRPr="000D0F33">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68049FEF" w14:textId="77777777" w:rsidR="00503C42" w:rsidRPr="000D0F33" w:rsidRDefault="00503C42" w:rsidP="006C3FC4">
            <w:pPr>
              <w:rPr>
                <w:color w:val="0000FF"/>
                <w:sz w:val="18"/>
                <w:szCs w:val="18"/>
              </w:rPr>
            </w:pPr>
            <w:r w:rsidRPr="000D0F33">
              <w:rPr>
                <w:sz w:val="18"/>
                <w:szCs w:val="18"/>
                <w:lang w:val="en-US"/>
              </w:rPr>
              <w:t>Other instruments</w:t>
            </w:r>
          </w:p>
        </w:tc>
      </w:tr>
      <w:tr w:rsidR="00503C42" w:rsidRPr="000D0F33" w14:paraId="4B0E6816" w14:textId="77777777" w:rsidTr="006C3FC4">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6FB9EEE3" w14:textId="77777777" w:rsidR="00503C42" w:rsidRPr="000D0F33" w:rsidRDefault="00503C42" w:rsidP="006C3FC4">
            <w:pPr>
              <w:jc w:val="center"/>
              <w:rPr>
                <w:sz w:val="18"/>
                <w:szCs w:val="18"/>
              </w:rPr>
            </w:pPr>
            <w:r w:rsidRPr="000D0F33">
              <w:rPr>
                <w:sz w:val="18"/>
                <w:szCs w:val="18"/>
              </w:rPr>
              <w:t>Summary of Analysis</w:t>
            </w:r>
          </w:p>
        </w:tc>
      </w:tr>
      <w:tr w:rsidR="00503C42" w:rsidRPr="000D0F33" w14:paraId="7D24671E" w14:textId="77777777" w:rsidTr="006C3FC4">
        <w:tc>
          <w:tcPr>
            <w:tcW w:w="14400" w:type="dxa"/>
            <w:gridSpan w:val="2"/>
            <w:tcBorders>
              <w:left w:val="single" w:sz="12" w:space="0" w:color="auto"/>
              <w:right w:val="single" w:sz="12" w:space="0" w:color="auto"/>
            </w:tcBorders>
          </w:tcPr>
          <w:p w14:paraId="48E28B30" w14:textId="5C66451F" w:rsidR="0058305E" w:rsidRPr="000D0F33" w:rsidRDefault="00225795" w:rsidP="0058305E">
            <w:pPr>
              <w:spacing w:after="200"/>
              <w:contextualSpacing/>
              <w:rPr>
                <w:b/>
                <w:color w:val="000000" w:themeColor="text1"/>
                <w:sz w:val="18"/>
                <w:szCs w:val="18"/>
                <w:u w:val="single"/>
              </w:rPr>
            </w:pPr>
            <w:r>
              <w:rPr>
                <w:b/>
                <w:color w:val="000000" w:themeColor="text1"/>
                <w:sz w:val="18"/>
                <w:szCs w:val="18"/>
                <w:u w:val="single"/>
              </w:rPr>
              <w:t>J.P. Morgan AG</w:t>
            </w:r>
            <w:bookmarkStart w:id="0" w:name="_GoBack"/>
            <w:bookmarkEnd w:id="0"/>
          </w:p>
          <w:p w14:paraId="02BBE3F2" w14:textId="77777777" w:rsidR="00503C42" w:rsidRPr="000D0F33" w:rsidRDefault="00503C42" w:rsidP="006C3FC4">
            <w:pPr>
              <w:rPr>
                <w:color w:val="1F497D" w:themeColor="text2"/>
                <w:sz w:val="18"/>
                <w:szCs w:val="18"/>
              </w:rPr>
            </w:pPr>
            <w:r w:rsidRPr="000D0F33">
              <w:rPr>
                <w:sz w:val="18"/>
                <w:szCs w:val="18"/>
              </w:rPr>
              <w:t xml:space="preserve">Within our fund order routing services product offering, executions arise on client instructions to subscribe for, or redeem, units in certain funds. In the year 2019, our review found the obligation of Best Execution was met in each case. The application was monitored by J.P. Morgan AG on a regular basis, through post-trade controls performed by the business which were monitored at the relevant Securities Services Control forum. This monitoring identified execution situations which were potentially subject to Best Execution and also monitored the correct application of the decision making process. </w:t>
            </w:r>
          </w:p>
        </w:tc>
      </w:tr>
      <w:tr w:rsidR="00503C42" w:rsidRPr="000D0F33" w14:paraId="2E159842" w14:textId="77777777" w:rsidTr="006C3FC4">
        <w:tc>
          <w:tcPr>
            <w:tcW w:w="4410" w:type="dxa"/>
            <w:tcBorders>
              <w:left w:val="single" w:sz="12" w:space="0" w:color="auto"/>
            </w:tcBorders>
            <w:shd w:val="clear" w:color="auto" w:fill="D9D9D9" w:themeFill="background1" w:themeFillShade="D9"/>
          </w:tcPr>
          <w:p w14:paraId="7894F08B" w14:textId="77777777" w:rsidR="00503C42" w:rsidRPr="000D0F33" w:rsidRDefault="00503C42" w:rsidP="006C3FC4">
            <w:pPr>
              <w:rPr>
                <w:sz w:val="18"/>
                <w:szCs w:val="18"/>
              </w:rPr>
            </w:pPr>
            <w:r w:rsidRPr="000D0F33">
              <w:rPr>
                <w:sz w:val="18"/>
                <w:szCs w:val="18"/>
              </w:rPr>
              <w:t>Relative importance given to execution factors &amp; other considerations</w:t>
            </w:r>
          </w:p>
        </w:tc>
        <w:tc>
          <w:tcPr>
            <w:tcW w:w="9990" w:type="dxa"/>
            <w:tcBorders>
              <w:right w:val="single" w:sz="12" w:space="0" w:color="auto"/>
            </w:tcBorders>
          </w:tcPr>
          <w:p w14:paraId="04DD0501" w14:textId="5EDCC8A3" w:rsidR="00503C42" w:rsidRPr="000D0F33" w:rsidRDefault="00503C42" w:rsidP="006C3FC4">
            <w:pPr>
              <w:spacing w:after="120"/>
              <w:jc w:val="both"/>
              <w:rPr>
                <w:sz w:val="18"/>
                <w:szCs w:val="18"/>
              </w:rPr>
            </w:pPr>
            <w:r w:rsidRPr="000D0F33">
              <w:rPr>
                <w:sz w:val="18"/>
                <w:szCs w:val="18"/>
              </w:rPr>
              <w:t xml:space="preserve">For information on the importance given to execution factors please see </w:t>
            </w:r>
            <w:hyperlink r:id="rId10" w:history="1">
              <w:r w:rsidRPr="000D0F33">
                <w:rPr>
                  <w:rStyle w:val="Hyperlink"/>
                  <w:sz w:val="18"/>
                  <w:szCs w:val="18"/>
                </w:rPr>
                <w:t>J.P. Morgan EMEA Securities Services: Execution Policy</w:t>
              </w:r>
            </w:hyperlink>
            <w:r w:rsidRPr="000D0F33">
              <w:rPr>
                <w:sz w:val="18"/>
                <w:szCs w:val="18"/>
              </w:rPr>
              <w:t xml:space="preserve">.  </w:t>
            </w:r>
          </w:p>
        </w:tc>
      </w:tr>
      <w:tr w:rsidR="00503C42" w:rsidRPr="000D0F33" w14:paraId="5B58D783" w14:textId="77777777" w:rsidTr="006C3FC4">
        <w:trPr>
          <w:trHeight w:val="485"/>
        </w:trPr>
        <w:tc>
          <w:tcPr>
            <w:tcW w:w="4410" w:type="dxa"/>
            <w:tcBorders>
              <w:left w:val="single" w:sz="12" w:space="0" w:color="auto"/>
            </w:tcBorders>
            <w:shd w:val="clear" w:color="auto" w:fill="D9D9D9" w:themeFill="background1" w:themeFillShade="D9"/>
          </w:tcPr>
          <w:p w14:paraId="0D7EEBDB" w14:textId="77777777" w:rsidR="00503C42" w:rsidRPr="000D0F33" w:rsidRDefault="00503C42" w:rsidP="006C3FC4">
            <w:pPr>
              <w:rPr>
                <w:sz w:val="18"/>
                <w:szCs w:val="18"/>
              </w:rPr>
            </w:pPr>
            <w:r w:rsidRPr="000D0F33">
              <w:rPr>
                <w:sz w:val="18"/>
                <w:szCs w:val="18"/>
              </w:rPr>
              <w:t>Execution venue close links / conflicts of interest / common ownerships</w:t>
            </w:r>
          </w:p>
        </w:tc>
        <w:tc>
          <w:tcPr>
            <w:tcW w:w="9990" w:type="dxa"/>
            <w:tcBorders>
              <w:right w:val="single" w:sz="12" w:space="0" w:color="auto"/>
            </w:tcBorders>
          </w:tcPr>
          <w:p w14:paraId="592AD5CC" w14:textId="77777777" w:rsidR="00503C42" w:rsidRPr="000D0F33" w:rsidRDefault="00503C42" w:rsidP="006C3FC4">
            <w:pPr>
              <w:rPr>
                <w:sz w:val="18"/>
                <w:szCs w:val="18"/>
              </w:rPr>
            </w:pPr>
            <w:r w:rsidRPr="000D0F33">
              <w:rPr>
                <w:sz w:val="18"/>
                <w:szCs w:val="18"/>
              </w:rPr>
              <w:t>Please note that some of the investment vehicles J.P. Morgan AG makes available may include investment funds of J.P. Morgan and its affiliates.</w:t>
            </w:r>
          </w:p>
        </w:tc>
      </w:tr>
      <w:tr w:rsidR="00503C42" w:rsidRPr="000D0F33" w14:paraId="20584117" w14:textId="77777777" w:rsidTr="006C3FC4">
        <w:tc>
          <w:tcPr>
            <w:tcW w:w="4410" w:type="dxa"/>
            <w:tcBorders>
              <w:left w:val="single" w:sz="12" w:space="0" w:color="auto"/>
            </w:tcBorders>
            <w:shd w:val="clear" w:color="auto" w:fill="D9D9D9" w:themeFill="background1" w:themeFillShade="D9"/>
          </w:tcPr>
          <w:p w14:paraId="7A50A5B6" w14:textId="77777777" w:rsidR="00503C42" w:rsidRPr="000D0F33" w:rsidRDefault="00503C42" w:rsidP="006C3FC4">
            <w:pPr>
              <w:rPr>
                <w:sz w:val="18"/>
                <w:szCs w:val="18"/>
              </w:rPr>
            </w:pPr>
            <w:r w:rsidRPr="000D0F33">
              <w:rPr>
                <w:sz w:val="18"/>
                <w:szCs w:val="18"/>
              </w:rPr>
              <w:t>Specific execution venue arrangements</w:t>
            </w:r>
          </w:p>
        </w:tc>
        <w:tc>
          <w:tcPr>
            <w:tcW w:w="9990" w:type="dxa"/>
            <w:tcBorders>
              <w:right w:val="single" w:sz="12" w:space="0" w:color="auto"/>
            </w:tcBorders>
          </w:tcPr>
          <w:p w14:paraId="02F23141" w14:textId="77777777" w:rsidR="00503C42" w:rsidRPr="000D0F33" w:rsidRDefault="00503C42" w:rsidP="006C3FC4">
            <w:pPr>
              <w:rPr>
                <w:i/>
                <w:sz w:val="18"/>
                <w:szCs w:val="18"/>
              </w:rPr>
            </w:pPr>
            <w:r w:rsidRPr="000D0F33">
              <w:rPr>
                <w:sz w:val="18"/>
                <w:szCs w:val="18"/>
              </w:rPr>
              <w:t xml:space="preserve">Not Applicable </w:t>
            </w:r>
          </w:p>
        </w:tc>
      </w:tr>
      <w:tr w:rsidR="00503C42" w:rsidRPr="000D0F33" w14:paraId="30BC6A75" w14:textId="77777777" w:rsidTr="006C3FC4">
        <w:trPr>
          <w:trHeight w:val="368"/>
        </w:trPr>
        <w:tc>
          <w:tcPr>
            <w:tcW w:w="4410" w:type="dxa"/>
            <w:tcBorders>
              <w:left w:val="single" w:sz="12" w:space="0" w:color="auto"/>
            </w:tcBorders>
            <w:shd w:val="clear" w:color="auto" w:fill="D9D9D9" w:themeFill="background1" w:themeFillShade="D9"/>
          </w:tcPr>
          <w:p w14:paraId="74C5C4DB" w14:textId="77777777" w:rsidR="00503C42" w:rsidRPr="000D0F33" w:rsidRDefault="00503C42" w:rsidP="006C3FC4">
            <w:pPr>
              <w:rPr>
                <w:sz w:val="18"/>
                <w:szCs w:val="18"/>
              </w:rPr>
            </w:pPr>
            <w:r w:rsidRPr="000D0F33">
              <w:rPr>
                <w:sz w:val="18"/>
                <w:szCs w:val="18"/>
              </w:rPr>
              <w:t>Changes to execution venues</w:t>
            </w:r>
          </w:p>
        </w:tc>
        <w:tc>
          <w:tcPr>
            <w:tcW w:w="9990" w:type="dxa"/>
            <w:tcBorders>
              <w:right w:val="single" w:sz="12" w:space="0" w:color="auto"/>
            </w:tcBorders>
          </w:tcPr>
          <w:p w14:paraId="621DEA8F" w14:textId="77777777" w:rsidR="00503C42" w:rsidRPr="000D0F33" w:rsidRDefault="00503C42" w:rsidP="006C3FC4">
            <w:pPr>
              <w:spacing w:after="120"/>
              <w:rPr>
                <w:i/>
                <w:sz w:val="18"/>
                <w:szCs w:val="18"/>
              </w:rPr>
            </w:pPr>
            <w:r w:rsidRPr="000D0F33">
              <w:rPr>
                <w:sz w:val="18"/>
                <w:szCs w:val="18"/>
              </w:rPr>
              <w:t>Not Applicable</w:t>
            </w:r>
          </w:p>
        </w:tc>
      </w:tr>
      <w:tr w:rsidR="00503C42" w:rsidRPr="000D0F33" w14:paraId="4AF714F4" w14:textId="77777777" w:rsidTr="006C3FC4">
        <w:tc>
          <w:tcPr>
            <w:tcW w:w="4410" w:type="dxa"/>
            <w:tcBorders>
              <w:left w:val="single" w:sz="12" w:space="0" w:color="auto"/>
            </w:tcBorders>
            <w:shd w:val="clear" w:color="auto" w:fill="D9D9D9" w:themeFill="background1" w:themeFillShade="D9"/>
          </w:tcPr>
          <w:p w14:paraId="474CE3AB" w14:textId="77777777" w:rsidR="00503C42" w:rsidRPr="000D0F33" w:rsidRDefault="00503C42" w:rsidP="006C3FC4">
            <w:pPr>
              <w:rPr>
                <w:sz w:val="18"/>
                <w:szCs w:val="18"/>
              </w:rPr>
            </w:pPr>
            <w:r w:rsidRPr="000D0F33">
              <w:rPr>
                <w:sz w:val="18"/>
                <w:szCs w:val="18"/>
              </w:rPr>
              <w:t>Client distinctions</w:t>
            </w:r>
          </w:p>
        </w:tc>
        <w:tc>
          <w:tcPr>
            <w:tcW w:w="9990" w:type="dxa"/>
            <w:tcBorders>
              <w:right w:val="single" w:sz="12" w:space="0" w:color="auto"/>
            </w:tcBorders>
          </w:tcPr>
          <w:p w14:paraId="6BC6F6CD" w14:textId="77777777" w:rsidR="00503C42" w:rsidRPr="000D0F33" w:rsidRDefault="00503C42" w:rsidP="006C3FC4">
            <w:pPr>
              <w:spacing w:after="120"/>
              <w:rPr>
                <w:i/>
                <w:sz w:val="18"/>
                <w:szCs w:val="18"/>
              </w:rPr>
            </w:pPr>
            <w:r w:rsidRPr="000D0F33">
              <w:rPr>
                <w:sz w:val="18"/>
                <w:szCs w:val="18"/>
              </w:rPr>
              <w:t xml:space="preserve">All clients within </w:t>
            </w:r>
            <w:r w:rsidRPr="000D0F33">
              <w:rPr>
                <w:color w:val="000000" w:themeColor="text1"/>
                <w:sz w:val="18"/>
                <w:szCs w:val="18"/>
              </w:rPr>
              <w:t xml:space="preserve">J.P. Morgan AG </w:t>
            </w:r>
            <w:r w:rsidRPr="000D0F33">
              <w:rPr>
                <w:sz w:val="18"/>
                <w:szCs w:val="18"/>
              </w:rPr>
              <w:t>are treated as Professional clients for the purpose of Best Execution.</w:t>
            </w:r>
          </w:p>
        </w:tc>
      </w:tr>
      <w:tr w:rsidR="00503C42" w:rsidRPr="000D0F33" w14:paraId="5773A050" w14:textId="77777777" w:rsidTr="006C3FC4">
        <w:tc>
          <w:tcPr>
            <w:tcW w:w="4410" w:type="dxa"/>
            <w:tcBorders>
              <w:left w:val="single" w:sz="12" w:space="0" w:color="auto"/>
            </w:tcBorders>
            <w:shd w:val="clear" w:color="auto" w:fill="D9D9D9" w:themeFill="background1" w:themeFillShade="D9"/>
          </w:tcPr>
          <w:p w14:paraId="03EB9F7F" w14:textId="77777777" w:rsidR="00503C42" w:rsidRPr="000D0F33" w:rsidRDefault="00503C42" w:rsidP="006C3FC4">
            <w:pPr>
              <w:rPr>
                <w:sz w:val="18"/>
                <w:szCs w:val="18"/>
              </w:rPr>
            </w:pPr>
            <w:r w:rsidRPr="000D0F33">
              <w:rPr>
                <w:sz w:val="18"/>
                <w:szCs w:val="18"/>
              </w:rPr>
              <w:t>Use of data/tools relating to the quality of execution</w:t>
            </w:r>
          </w:p>
        </w:tc>
        <w:tc>
          <w:tcPr>
            <w:tcW w:w="9990" w:type="dxa"/>
            <w:tcBorders>
              <w:right w:val="single" w:sz="12" w:space="0" w:color="auto"/>
            </w:tcBorders>
          </w:tcPr>
          <w:p w14:paraId="0152903A" w14:textId="77777777" w:rsidR="00503C42" w:rsidRPr="000D0F33" w:rsidRDefault="00503C42" w:rsidP="006C3FC4">
            <w:pPr>
              <w:spacing w:after="120"/>
              <w:rPr>
                <w:i/>
                <w:sz w:val="18"/>
                <w:szCs w:val="18"/>
              </w:rPr>
            </w:pPr>
            <w:r w:rsidRPr="000D0F33">
              <w:rPr>
                <w:sz w:val="18"/>
                <w:szCs w:val="18"/>
              </w:rPr>
              <w:t xml:space="preserve">The quality of the execution is monitored through J.P. Morgan AG’s automated systems which manage and reconcile executions of orders against execution factors relevant to a particular line of business as further outlined in </w:t>
            </w:r>
            <w:hyperlink r:id="rId11" w:history="1">
              <w:r w:rsidRPr="000D0F33">
                <w:rPr>
                  <w:rStyle w:val="Hyperlink"/>
                  <w:sz w:val="18"/>
                  <w:szCs w:val="18"/>
                </w:rPr>
                <w:t>J.P. Morgan EMEA Securities Services: Execution Policy</w:t>
              </w:r>
            </w:hyperlink>
            <w:r w:rsidRPr="000D0F33">
              <w:rPr>
                <w:sz w:val="18"/>
                <w:szCs w:val="18"/>
              </w:rPr>
              <w:t>. Any exceptions or errors identified are managed by a dedicated team within a reasonable time. On a periodic basis, Best Execution metrics are compiled and consolidated for a particular line of business for review at the relevant business control forum.</w:t>
            </w:r>
          </w:p>
        </w:tc>
      </w:tr>
      <w:tr w:rsidR="00503C42" w:rsidRPr="000D0F33" w14:paraId="571C57CD" w14:textId="77777777" w:rsidTr="006C3FC4">
        <w:tc>
          <w:tcPr>
            <w:tcW w:w="4410" w:type="dxa"/>
            <w:tcBorders>
              <w:left w:val="single" w:sz="12" w:space="0" w:color="auto"/>
              <w:bottom w:val="single" w:sz="12" w:space="0" w:color="auto"/>
            </w:tcBorders>
            <w:shd w:val="clear" w:color="auto" w:fill="D9D9D9" w:themeFill="background1" w:themeFillShade="D9"/>
          </w:tcPr>
          <w:p w14:paraId="09DA1374" w14:textId="77777777" w:rsidR="00503C42" w:rsidRPr="000D0F33" w:rsidRDefault="00503C42" w:rsidP="006C3FC4">
            <w:pPr>
              <w:rPr>
                <w:sz w:val="18"/>
                <w:szCs w:val="18"/>
              </w:rPr>
            </w:pPr>
            <w:r w:rsidRPr="000D0F33">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0E2907C9" w14:textId="77777777" w:rsidR="00503C42" w:rsidRPr="000D0F33" w:rsidRDefault="00503C42" w:rsidP="006C3FC4">
            <w:pPr>
              <w:spacing w:after="120"/>
              <w:rPr>
                <w:i/>
                <w:sz w:val="18"/>
                <w:szCs w:val="18"/>
              </w:rPr>
            </w:pPr>
            <w:r w:rsidRPr="000D0F33">
              <w:rPr>
                <w:sz w:val="18"/>
                <w:szCs w:val="18"/>
              </w:rPr>
              <w:t xml:space="preserve">Not Applicable </w:t>
            </w:r>
          </w:p>
        </w:tc>
      </w:tr>
    </w:tbl>
    <w:p w14:paraId="5E8D82F7" w14:textId="51F2A609" w:rsidR="00DB02C7" w:rsidRPr="000D0F33" w:rsidRDefault="00DB02C7" w:rsidP="007A6941">
      <w:pPr>
        <w:rPr>
          <w:color w:val="FF0000"/>
          <w:sz w:val="18"/>
          <w:szCs w:val="18"/>
        </w:rPr>
      </w:pPr>
    </w:p>
    <w:p w14:paraId="64D89304" w14:textId="2A2D09F2" w:rsidR="00B41BFE" w:rsidRPr="000D0F33" w:rsidRDefault="00DB02C7">
      <w:pPr>
        <w:rPr>
          <w:color w:val="FF0000"/>
          <w:sz w:val="18"/>
          <w:szCs w:val="18"/>
        </w:rPr>
      </w:pPr>
      <w:r w:rsidRPr="000D0F33">
        <w:rPr>
          <w:color w:val="FF0000"/>
          <w:sz w:val="18"/>
          <w:szCs w:val="18"/>
        </w:rPr>
        <w:br w:type="page"/>
      </w:r>
    </w:p>
    <w:p w14:paraId="0B572B83" w14:textId="229715D3" w:rsidR="00B41BFE" w:rsidRPr="000D0F33" w:rsidRDefault="00B41BFE" w:rsidP="00B41BFE">
      <w:pPr>
        <w:rPr>
          <w:b/>
          <w:color w:val="FF0000"/>
          <w:sz w:val="18"/>
          <w:szCs w:val="18"/>
        </w:rPr>
      </w:pPr>
    </w:p>
    <w:tbl>
      <w:tblPr>
        <w:tblStyle w:val="TableGrid"/>
        <w:tblW w:w="14400" w:type="dxa"/>
        <w:tblInd w:w="468" w:type="dxa"/>
        <w:tblLook w:val="04A0" w:firstRow="1" w:lastRow="0" w:firstColumn="1" w:lastColumn="0" w:noHBand="0" w:noVBand="1"/>
      </w:tblPr>
      <w:tblGrid>
        <w:gridCol w:w="4410"/>
        <w:gridCol w:w="9990"/>
      </w:tblGrid>
      <w:tr w:rsidR="000B419E" w:rsidRPr="000D0F33" w14:paraId="1B5532D3" w14:textId="77777777" w:rsidTr="00F154DD">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B242721" w14:textId="77777777" w:rsidR="000B419E" w:rsidRPr="000D0F33" w:rsidRDefault="000B419E" w:rsidP="00F154DD">
            <w:pPr>
              <w:rPr>
                <w:color w:val="000000" w:themeColor="text1"/>
                <w:sz w:val="18"/>
                <w:szCs w:val="18"/>
              </w:rPr>
            </w:pPr>
            <w:r w:rsidRPr="000D0F33">
              <w:rPr>
                <w:color w:val="000000" w:themeColor="text1"/>
                <w:sz w:val="18"/>
                <w:szCs w:val="18"/>
              </w:rPr>
              <w:br w:type="page"/>
              <w:t>Legal Entity</w:t>
            </w:r>
          </w:p>
        </w:tc>
        <w:tc>
          <w:tcPr>
            <w:tcW w:w="9990" w:type="dxa"/>
            <w:tcBorders>
              <w:top w:val="single" w:sz="12" w:space="0" w:color="auto"/>
              <w:left w:val="single" w:sz="4" w:space="0" w:color="auto"/>
              <w:bottom w:val="single" w:sz="12" w:space="0" w:color="auto"/>
              <w:right w:val="single" w:sz="12" w:space="0" w:color="auto"/>
            </w:tcBorders>
          </w:tcPr>
          <w:p w14:paraId="04FDE55F" w14:textId="77777777" w:rsidR="000B419E" w:rsidRPr="000D0F33" w:rsidRDefault="000B419E" w:rsidP="00F154DD">
            <w:pPr>
              <w:ind w:right="432"/>
              <w:rPr>
                <w:color w:val="000000" w:themeColor="text1"/>
                <w:sz w:val="18"/>
                <w:szCs w:val="18"/>
              </w:rPr>
            </w:pPr>
            <w:r w:rsidRPr="000D0F33">
              <w:rPr>
                <w:color w:val="000000" w:themeColor="text1"/>
                <w:sz w:val="18"/>
                <w:szCs w:val="18"/>
              </w:rPr>
              <w:t xml:space="preserve">J.P. Morgan AG (549300ZK53CNGEEI6A29) </w:t>
            </w:r>
          </w:p>
        </w:tc>
      </w:tr>
      <w:tr w:rsidR="000B419E" w:rsidRPr="000D0F33" w14:paraId="7E1618CC" w14:textId="77777777" w:rsidTr="00F154DD">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2E8B7CCE" w14:textId="77777777" w:rsidR="000B419E" w:rsidRPr="000D0F33" w:rsidRDefault="000B419E" w:rsidP="00F154DD">
            <w:pPr>
              <w:rPr>
                <w:color w:val="000000" w:themeColor="text1"/>
                <w:sz w:val="18"/>
                <w:szCs w:val="18"/>
              </w:rPr>
            </w:pPr>
            <w:r w:rsidRPr="000D0F33">
              <w:rPr>
                <w:color w:val="000000" w:themeColor="text1"/>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383FAE7F" w14:textId="77777777" w:rsidR="000B419E" w:rsidRPr="000D0F33" w:rsidRDefault="000B419E" w:rsidP="00F154DD">
            <w:pPr>
              <w:rPr>
                <w:color w:val="000000" w:themeColor="text1"/>
                <w:sz w:val="18"/>
                <w:szCs w:val="18"/>
              </w:rPr>
            </w:pPr>
            <w:r w:rsidRPr="000D0F33">
              <w:rPr>
                <w:color w:val="000000" w:themeColor="text1"/>
                <w:sz w:val="18"/>
                <w:szCs w:val="18"/>
              </w:rPr>
              <w:t>Futures and Options admitted to trading on a trading venue (Commodities Derivatives And Emission Allowances Derivatives,  Equity Derivatives, Exchange Traded Products and Other Instruments)</w:t>
            </w:r>
          </w:p>
        </w:tc>
      </w:tr>
      <w:tr w:rsidR="000B419E" w:rsidRPr="000D0F33" w14:paraId="276D7F09" w14:textId="77777777" w:rsidTr="00F154DD">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30C24212" w14:textId="77777777" w:rsidR="000B419E" w:rsidRPr="000D0F33" w:rsidRDefault="000B419E" w:rsidP="00F154DD">
            <w:pPr>
              <w:jc w:val="center"/>
              <w:rPr>
                <w:color w:val="000000" w:themeColor="text1"/>
                <w:sz w:val="18"/>
                <w:szCs w:val="18"/>
              </w:rPr>
            </w:pPr>
            <w:r w:rsidRPr="000D0F33">
              <w:rPr>
                <w:color w:val="000000" w:themeColor="text1"/>
                <w:sz w:val="18"/>
                <w:szCs w:val="18"/>
              </w:rPr>
              <w:t>Summary of Analysis</w:t>
            </w:r>
          </w:p>
        </w:tc>
      </w:tr>
      <w:tr w:rsidR="000B419E" w:rsidRPr="000D0F33" w14:paraId="6CDD98BA" w14:textId="77777777" w:rsidTr="00F154DD">
        <w:tc>
          <w:tcPr>
            <w:tcW w:w="14400" w:type="dxa"/>
            <w:gridSpan w:val="2"/>
            <w:tcBorders>
              <w:left w:val="single" w:sz="12" w:space="0" w:color="auto"/>
              <w:right w:val="single" w:sz="12" w:space="0" w:color="auto"/>
            </w:tcBorders>
          </w:tcPr>
          <w:p w14:paraId="2EAF5596" w14:textId="77777777" w:rsidR="000B419E" w:rsidRPr="000D0F33" w:rsidRDefault="000B419E" w:rsidP="00F154DD">
            <w:pPr>
              <w:rPr>
                <w:color w:val="000000" w:themeColor="text1"/>
                <w:sz w:val="18"/>
                <w:szCs w:val="18"/>
              </w:rPr>
            </w:pPr>
            <w:r w:rsidRPr="000D0F33">
              <w:rPr>
                <w:bCs/>
                <w:color w:val="000000" w:themeColor="text1"/>
                <w:sz w:val="18"/>
                <w:szCs w:val="18"/>
              </w:rPr>
              <w:t xml:space="preserve">The Futures and Options admitted to trading on a trading venue that have been subject to Best Execution are products described in the Appendix 3 of the </w:t>
            </w:r>
            <w:hyperlink r:id="rId12" w:history="1">
              <w:r w:rsidRPr="000D0F33">
                <w:rPr>
                  <w:rStyle w:val="Hyperlink"/>
                  <w:bCs/>
                  <w:color w:val="000000" w:themeColor="text1"/>
                  <w:sz w:val="18"/>
                  <w:szCs w:val="18"/>
                </w:rPr>
                <w:t>J.P. Morgan Execution Policy</w:t>
              </w:r>
            </w:hyperlink>
            <w:r w:rsidRPr="000D0F33">
              <w:rPr>
                <w:bCs/>
                <w:color w:val="000000" w:themeColor="text1"/>
                <w:sz w:val="18"/>
                <w:szCs w:val="18"/>
              </w:rPr>
              <w:t xml:space="preserve">. </w:t>
            </w:r>
          </w:p>
          <w:p w14:paraId="177322C0" w14:textId="77777777" w:rsidR="000B419E" w:rsidRPr="000D0F33" w:rsidRDefault="000B419E" w:rsidP="00F154DD">
            <w:pPr>
              <w:rPr>
                <w:color w:val="000000" w:themeColor="text1"/>
                <w:sz w:val="18"/>
                <w:szCs w:val="18"/>
              </w:rPr>
            </w:pPr>
            <w:r w:rsidRPr="000D0F33">
              <w:rPr>
                <w:bCs/>
                <w:color w:val="000000" w:themeColor="text1"/>
                <w:sz w:val="18"/>
                <w:szCs w:val="18"/>
              </w:rPr>
              <w:t> </w:t>
            </w:r>
          </w:p>
          <w:p w14:paraId="3708EFA0" w14:textId="77777777" w:rsidR="000B419E" w:rsidRPr="000D0F33" w:rsidRDefault="000B419E" w:rsidP="00F154DD">
            <w:pPr>
              <w:rPr>
                <w:color w:val="000000" w:themeColor="text1"/>
                <w:sz w:val="18"/>
                <w:szCs w:val="18"/>
              </w:rPr>
            </w:pPr>
            <w:r w:rsidRPr="000D0F33">
              <w:rPr>
                <w:bCs/>
                <w:color w:val="000000" w:themeColor="text1"/>
                <w:sz w:val="18"/>
                <w:szCs w:val="18"/>
              </w:rPr>
              <w:t>J.P. Morgan AG monitored Best Execution in Futures and Options admitted to a trading venue on a regular basis, through post trade controls. The results of the monitoring were reviewed by J.P. Morgan management and control functions.  J.P. Morgan AG regularly reviews the post trade controls to ensure that these continue to be relevant and where possible enhanced to ensure Best Execution obligations are met. Best Execution monitoring results were in line with J.P. Morgan AG expectations</w:t>
            </w:r>
            <w:r w:rsidRPr="000D0F33">
              <w:rPr>
                <w:b/>
                <w:bCs/>
                <w:color w:val="000000" w:themeColor="text1"/>
                <w:sz w:val="18"/>
                <w:szCs w:val="18"/>
              </w:rPr>
              <w:t>.</w:t>
            </w:r>
          </w:p>
        </w:tc>
      </w:tr>
      <w:tr w:rsidR="000B419E" w:rsidRPr="000D0F33" w14:paraId="5FE3EFE6" w14:textId="77777777" w:rsidTr="00F154DD">
        <w:tc>
          <w:tcPr>
            <w:tcW w:w="4410" w:type="dxa"/>
            <w:tcBorders>
              <w:left w:val="single" w:sz="12" w:space="0" w:color="auto"/>
            </w:tcBorders>
            <w:shd w:val="clear" w:color="auto" w:fill="D9D9D9" w:themeFill="background1" w:themeFillShade="D9"/>
          </w:tcPr>
          <w:p w14:paraId="0C38FBFA" w14:textId="77777777" w:rsidR="000B419E" w:rsidRPr="000D0F33" w:rsidRDefault="000B419E" w:rsidP="00F154DD">
            <w:pPr>
              <w:rPr>
                <w:color w:val="000000" w:themeColor="text1"/>
                <w:sz w:val="18"/>
                <w:szCs w:val="18"/>
              </w:rPr>
            </w:pPr>
            <w:r w:rsidRPr="000D0F33">
              <w:rPr>
                <w:color w:val="000000" w:themeColor="text1"/>
                <w:sz w:val="18"/>
                <w:szCs w:val="18"/>
              </w:rPr>
              <w:t>Relative importance given to execution factors &amp; other considerations</w:t>
            </w:r>
          </w:p>
        </w:tc>
        <w:tc>
          <w:tcPr>
            <w:tcW w:w="9990" w:type="dxa"/>
            <w:tcBorders>
              <w:right w:val="single" w:sz="12" w:space="0" w:color="auto"/>
            </w:tcBorders>
          </w:tcPr>
          <w:p w14:paraId="01276896" w14:textId="057A3DB6" w:rsidR="000B419E" w:rsidRPr="000D0F33" w:rsidRDefault="008B146A" w:rsidP="00F154DD">
            <w:pPr>
              <w:spacing w:after="120"/>
              <w:jc w:val="both"/>
              <w:rPr>
                <w:color w:val="000000" w:themeColor="text1"/>
                <w:sz w:val="18"/>
                <w:szCs w:val="18"/>
              </w:rPr>
            </w:pPr>
            <w:r>
              <w:rPr>
                <w:color w:val="000000" w:themeColor="text1"/>
                <w:sz w:val="18"/>
                <w:szCs w:val="18"/>
              </w:rPr>
              <w:t>As per Appendix 3 of the</w:t>
            </w:r>
            <w:r>
              <w:rPr>
                <w:rFonts w:cstheme="minorHAnsi"/>
                <w:color w:val="000000" w:themeColor="text1"/>
                <w:sz w:val="18"/>
                <w:szCs w:val="18"/>
              </w:rPr>
              <w:t xml:space="preserve"> </w:t>
            </w:r>
            <w:hyperlink r:id="rId13" w:history="1">
              <w:r w:rsidRPr="00D75000">
                <w:rPr>
                  <w:rStyle w:val="Hyperlink"/>
                  <w:rFonts w:cstheme="minorHAnsi"/>
                  <w:sz w:val="18"/>
                  <w:szCs w:val="18"/>
                </w:rPr>
                <w:t>J.P. Morgan Execution Policy</w:t>
              </w:r>
            </w:hyperlink>
            <w:r>
              <w:rPr>
                <w:rStyle w:val="Hyperlink"/>
                <w:rFonts w:cstheme="minorHAnsi"/>
                <w:sz w:val="18"/>
                <w:szCs w:val="18"/>
              </w:rPr>
              <w:t xml:space="preserve"> </w:t>
            </w:r>
            <w:r w:rsidR="000B419E" w:rsidRPr="000D0F33">
              <w:rPr>
                <w:color w:val="000000" w:themeColor="text1"/>
                <w:sz w:val="18"/>
                <w:szCs w:val="18"/>
              </w:rPr>
              <w:t xml:space="preserve">price is the most important factor. After price, speed and </w:t>
            </w:r>
            <w:r w:rsidR="000B419E" w:rsidRPr="000D0F33">
              <w:rPr>
                <w:sz w:val="18"/>
                <w:szCs w:val="18"/>
              </w:rPr>
              <w:t>the likelihood of execution</w:t>
            </w:r>
            <w:r w:rsidR="000B419E" w:rsidRPr="000D0F33">
              <w:rPr>
                <w:color w:val="000000" w:themeColor="text1"/>
                <w:sz w:val="18"/>
                <w:szCs w:val="18"/>
              </w:rPr>
              <w:t xml:space="preserve"> and ability to fill a client’s order in its entirety – or at least a substantial part of it – are the most important factors. This latter factor increases in importance in situations where access to liquidity in the relevant instrument is constrained in some way – for example, if the relevant Futures or Options contract is illiquid, or if the limit price provided is not marketable.</w:t>
            </w:r>
          </w:p>
        </w:tc>
      </w:tr>
      <w:tr w:rsidR="000B419E" w:rsidRPr="000D0F33" w14:paraId="1FC5353C" w14:textId="77777777" w:rsidTr="00F154DD">
        <w:trPr>
          <w:trHeight w:val="485"/>
        </w:trPr>
        <w:tc>
          <w:tcPr>
            <w:tcW w:w="4410" w:type="dxa"/>
            <w:tcBorders>
              <w:left w:val="single" w:sz="12" w:space="0" w:color="auto"/>
            </w:tcBorders>
            <w:shd w:val="clear" w:color="auto" w:fill="D9D9D9" w:themeFill="background1" w:themeFillShade="D9"/>
          </w:tcPr>
          <w:p w14:paraId="4677273E" w14:textId="77777777" w:rsidR="000B419E" w:rsidRPr="000D0F33" w:rsidRDefault="000B419E" w:rsidP="00F154DD">
            <w:pPr>
              <w:rPr>
                <w:color w:val="000000" w:themeColor="text1"/>
                <w:sz w:val="18"/>
                <w:szCs w:val="18"/>
              </w:rPr>
            </w:pPr>
            <w:r w:rsidRPr="000D0F33">
              <w:rPr>
                <w:color w:val="000000" w:themeColor="text1"/>
                <w:sz w:val="18"/>
                <w:szCs w:val="18"/>
              </w:rPr>
              <w:t>Execution venue close links / conflicts of interest / common ownerships</w:t>
            </w:r>
          </w:p>
        </w:tc>
        <w:tc>
          <w:tcPr>
            <w:tcW w:w="9990" w:type="dxa"/>
            <w:tcBorders>
              <w:right w:val="single" w:sz="12" w:space="0" w:color="auto"/>
            </w:tcBorders>
          </w:tcPr>
          <w:p w14:paraId="64294EE9" w14:textId="77777777" w:rsidR="000B419E" w:rsidRPr="000D0F33" w:rsidRDefault="000B419E" w:rsidP="00F154DD">
            <w:pPr>
              <w:rPr>
                <w:color w:val="000000" w:themeColor="text1"/>
                <w:sz w:val="18"/>
                <w:szCs w:val="18"/>
              </w:rPr>
            </w:pPr>
            <w:r w:rsidRPr="000D0F33">
              <w:rPr>
                <w:color w:val="000000" w:themeColor="text1"/>
                <w:sz w:val="18"/>
                <w:szCs w:val="18"/>
              </w:rPr>
              <w:t xml:space="preserve">J.P. Morgan AG is a fully owned subsidiary of JPMorgan Chase &amp; Co. </w:t>
            </w:r>
          </w:p>
        </w:tc>
      </w:tr>
      <w:tr w:rsidR="000B419E" w:rsidRPr="000D0F33" w14:paraId="49B8E868" w14:textId="77777777" w:rsidTr="00F154DD">
        <w:tc>
          <w:tcPr>
            <w:tcW w:w="4410" w:type="dxa"/>
            <w:tcBorders>
              <w:left w:val="single" w:sz="12" w:space="0" w:color="auto"/>
            </w:tcBorders>
            <w:shd w:val="clear" w:color="auto" w:fill="D9D9D9" w:themeFill="background1" w:themeFillShade="D9"/>
          </w:tcPr>
          <w:p w14:paraId="6B980A8C" w14:textId="77777777" w:rsidR="000B419E" w:rsidRPr="000D0F33" w:rsidRDefault="000B419E" w:rsidP="00F154DD">
            <w:pPr>
              <w:rPr>
                <w:color w:val="000000" w:themeColor="text1"/>
                <w:sz w:val="18"/>
                <w:szCs w:val="18"/>
              </w:rPr>
            </w:pPr>
            <w:r w:rsidRPr="000D0F33">
              <w:rPr>
                <w:color w:val="000000" w:themeColor="text1"/>
                <w:sz w:val="18"/>
                <w:szCs w:val="18"/>
              </w:rPr>
              <w:t>Specific execution venue arrangements</w:t>
            </w:r>
          </w:p>
        </w:tc>
        <w:tc>
          <w:tcPr>
            <w:tcW w:w="9990" w:type="dxa"/>
            <w:tcBorders>
              <w:right w:val="single" w:sz="12" w:space="0" w:color="auto"/>
            </w:tcBorders>
          </w:tcPr>
          <w:p w14:paraId="42D98F33" w14:textId="77777777" w:rsidR="000B419E" w:rsidRPr="000D0F33" w:rsidRDefault="000B419E" w:rsidP="00F154DD">
            <w:pPr>
              <w:rPr>
                <w:color w:val="000000" w:themeColor="text1"/>
                <w:sz w:val="18"/>
                <w:szCs w:val="18"/>
              </w:rPr>
            </w:pPr>
            <w:r w:rsidRPr="000D0F33">
              <w:rPr>
                <w:color w:val="000000" w:themeColor="text1"/>
                <w:sz w:val="18"/>
                <w:szCs w:val="18"/>
              </w:rPr>
              <w:t>Regarding payments made or received, discounts, rebates or non-monetary benefits received:</w:t>
            </w:r>
          </w:p>
          <w:p w14:paraId="2F577890" w14:textId="77777777" w:rsidR="000B419E" w:rsidRPr="000D0F33" w:rsidRDefault="000B419E" w:rsidP="00F154DD">
            <w:pPr>
              <w:rPr>
                <w:i/>
                <w:color w:val="000000" w:themeColor="text1"/>
                <w:sz w:val="18"/>
                <w:szCs w:val="18"/>
              </w:rPr>
            </w:pPr>
            <w:r w:rsidRPr="000D0F33">
              <w:rPr>
                <w:bCs/>
                <w:color w:val="000000" w:themeColor="text1"/>
                <w:sz w:val="18"/>
                <w:szCs w:val="18"/>
              </w:rPr>
              <w:t xml:space="preserve">J.P. Morgan AG </w:t>
            </w:r>
            <w:r w:rsidRPr="000D0F33">
              <w:rPr>
                <w:color w:val="000000" w:themeColor="text1"/>
                <w:sz w:val="18"/>
                <w:szCs w:val="18"/>
              </w:rPr>
              <w:t xml:space="preserve">does not have any specific arrangements with any trading venues other than standard publicly available terms.  Where </w:t>
            </w:r>
            <w:r w:rsidRPr="000D0F33">
              <w:rPr>
                <w:bCs/>
                <w:color w:val="000000" w:themeColor="text1"/>
                <w:sz w:val="18"/>
                <w:szCs w:val="18"/>
              </w:rPr>
              <w:t xml:space="preserve">J.P. Morgan AG </w:t>
            </w:r>
            <w:r w:rsidRPr="000D0F33">
              <w:rPr>
                <w:color w:val="000000" w:themeColor="text1"/>
                <w:sz w:val="18"/>
                <w:szCs w:val="18"/>
              </w:rPr>
              <w:t>contracts with execution venues, it may negotiate specific commercial terms bilaterally with those venues but those terms will not include being compensated directly or indirectly for business given to those venues.</w:t>
            </w:r>
          </w:p>
        </w:tc>
      </w:tr>
      <w:tr w:rsidR="000B419E" w:rsidRPr="000D0F33" w14:paraId="4D178941" w14:textId="77777777" w:rsidTr="00F154DD">
        <w:trPr>
          <w:trHeight w:val="368"/>
        </w:trPr>
        <w:tc>
          <w:tcPr>
            <w:tcW w:w="4410" w:type="dxa"/>
            <w:tcBorders>
              <w:left w:val="single" w:sz="12" w:space="0" w:color="auto"/>
            </w:tcBorders>
            <w:shd w:val="clear" w:color="auto" w:fill="D9D9D9" w:themeFill="background1" w:themeFillShade="D9"/>
          </w:tcPr>
          <w:p w14:paraId="55B8AB2E" w14:textId="77777777" w:rsidR="000B419E" w:rsidRPr="000D0F33" w:rsidRDefault="000B419E" w:rsidP="00F154DD">
            <w:pPr>
              <w:rPr>
                <w:color w:val="000000" w:themeColor="text1"/>
                <w:sz w:val="18"/>
                <w:szCs w:val="18"/>
              </w:rPr>
            </w:pPr>
            <w:r w:rsidRPr="000D0F33">
              <w:rPr>
                <w:color w:val="000000" w:themeColor="text1"/>
                <w:sz w:val="18"/>
                <w:szCs w:val="18"/>
              </w:rPr>
              <w:t>Changes to execution venues</w:t>
            </w:r>
          </w:p>
        </w:tc>
        <w:tc>
          <w:tcPr>
            <w:tcW w:w="9990" w:type="dxa"/>
            <w:tcBorders>
              <w:right w:val="single" w:sz="12" w:space="0" w:color="auto"/>
            </w:tcBorders>
          </w:tcPr>
          <w:p w14:paraId="288BF5E7" w14:textId="77777777" w:rsidR="000B419E" w:rsidRPr="000D0F33" w:rsidRDefault="000B419E" w:rsidP="00F154DD">
            <w:pPr>
              <w:rPr>
                <w:color w:val="000000" w:themeColor="text1"/>
                <w:sz w:val="18"/>
                <w:szCs w:val="18"/>
              </w:rPr>
            </w:pPr>
            <w:r w:rsidRPr="000D0F33">
              <w:rPr>
                <w:color w:val="000000" w:themeColor="text1"/>
                <w:sz w:val="18"/>
                <w:szCs w:val="18"/>
              </w:rPr>
              <w:t>In preparation for the United Kingdom’s exit from the European Union, J.P. Morgan AG commenced trading on the following execution venues in 2019.</w:t>
            </w:r>
          </w:p>
          <w:p w14:paraId="1C6571DE" w14:textId="77777777" w:rsidR="000B419E" w:rsidRPr="000D0F33" w:rsidRDefault="000B419E" w:rsidP="00F154DD">
            <w:pPr>
              <w:numPr>
                <w:ilvl w:val="0"/>
                <w:numId w:val="2"/>
              </w:numPr>
              <w:rPr>
                <w:color w:val="000000" w:themeColor="text1"/>
                <w:sz w:val="18"/>
                <w:szCs w:val="18"/>
              </w:rPr>
            </w:pPr>
            <w:r w:rsidRPr="000D0F33">
              <w:rPr>
                <w:color w:val="000000" w:themeColor="text1"/>
                <w:sz w:val="18"/>
                <w:szCs w:val="18"/>
              </w:rPr>
              <w:t>Eurex Exchange</w:t>
            </w:r>
          </w:p>
          <w:p w14:paraId="7ACE080B" w14:textId="77777777" w:rsidR="000B419E" w:rsidRPr="000D0F33" w:rsidRDefault="000B419E" w:rsidP="00F154DD">
            <w:pPr>
              <w:numPr>
                <w:ilvl w:val="0"/>
                <w:numId w:val="2"/>
              </w:numPr>
              <w:rPr>
                <w:color w:val="000000" w:themeColor="text1"/>
                <w:sz w:val="18"/>
                <w:szCs w:val="18"/>
              </w:rPr>
            </w:pPr>
            <w:r w:rsidRPr="000D0F33">
              <w:rPr>
                <w:color w:val="000000" w:themeColor="text1"/>
                <w:sz w:val="18"/>
                <w:szCs w:val="18"/>
              </w:rPr>
              <w:t>ICE Endex Exchange</w:t>
            </w:r>
          </w:p>
        </w:tc>
      </w:tr>
      <w:tr w:rsidR="000B419E" w:rsidRPr="000D0F33" w14:paraId="6B5D971A" w14:textId="77777777" w:rsidTr="00F154DD">
        <w:tc>
          <w:tcPr>
            <w:tcW w:w="4410" w:type="dxa"/>
            <w:tcBorders>
              <w:left w:val="single" w:sz="12" w:space="0" w:color="auto"/>
            </w:tcBorders>
            <w:shd w:val="clear" w:color="auto" w:fill="D9D9D9" w:themeFill="background1" w:themeFillShade="D9"/>
          </w:tcPr>
          <w:p w14:paraId="1AF954D0" w14:textId="77777777" w:rsidR="000B419E" w:rsidRPr="000D0F33" w:rsidRDefault="000B419E" w:rsidP="00F154DD">
            <w:pPr>
              <w:rPr>
                <w:color w:val="000000" w:themeColor="text1"/>
                <w:sz w:val="18"/>
                <w:szCs w:val="18"/>
              </w:rPr>
            </w:pPr>
            <w:r w:rsidRPr="000D0F33">
              <w:rPr>
                <w:color w:val="000000" w:themeColor="text1"/>
                <w:sz w:val="18"/>
                <w:szCs w:val="18"/>
              </w:rPr>
              <w:t>Client distinctions</w:t>
            </w:r>
          </w:p>
        </w:tc>
        <w:tc>
          <w:tcPr>
            <w:tcW w:w="9990" w:type="dxa"/>
            <w:tcBorders>
              <w:right w:val="single" w:sz="12" w:space="0" w:color="auto"/>
            </w:tcBorders>
          </w:tcPr>
          <w:p w14:paraId="6A376D00" w14:textId="77777777" w:rsidR="000B419E" w:rsidRPr="000D0F33" w:rsidRDefault="000B419E" w:rsidP="00F154DD">
            <w:pPr>
              <w:spacing w:after="120"/>
              <w:rPr>
                <w:i/>
                <w:color w:val="000000" w:themeColor="text1"/>
                <w:sz w:val="18"/>
                <w:szCs w:val="18"/>
              </w:rPr>
            </w:pPr>
            <w:r w:rsidRPr="000D0F33">
              <w:rPr>
                <w:color w:val="000000" w:themeColor="text1"/>
                <w:sz w:val="18"/>
                <w:szCs w:val="18"/>
              </w:rPr>
              <w:t>Our arrangements do not differ by client categorisation.</w:t>
            </w:r>
          </w:p>
        </w:tc>
      </w:tr>
      <w:tr w:rsidR="000B419E" w:rsidRPr="000D0F33" w14:paraId="683AD3AE" w14:textId="77777777" w:rsidTr="00F154DD">
        <w:tc>
          <w:tcPr>
            <w:tcW w:w="4410" w:type="dxa"/>
            <w:tcBorders>
              <w:left w:val="single" w:sz="12" w:space="0" w:color="auto"/>
            </w:tcBorders>
            <w:shd w:val="clear" w:color="auto" w:fill="D9D9D9" w:themeFill="background1" w:themeFillShade="D9"/>
          </w:tcPr>
          <w:p w14:paraId="007AB530" w14:textId="77777777" w:rsidR="000B419E" w:rsidRPr="000D0F33" w:rsidRDefault="000B419E" w:rsidP="00F154DD">
            <w:pPr>
              <w:rPr>
                <w:color w:val="000000" w:themeColor="text1"/>
                <w:sz w:val="18"/>
                <w:szCs w:val="18"/>
              </w:rPr>
            </w:pPr>
            <w:r w:rsidRPr="000D0F33">
              <w:rPr>
                <w:color w:val="000000" w:themeColor="text1"/>
                <w:sz w:val="18"/>
                <w:szCs w:val="18"/>
              </w:rPr>
              <w:t>Use of data/tools relating to the quality of execution</w:t>
            </w:r>
          </w:p>
        </w:tc>
        <w:tc>
          <w:tcPr>
            <w:tcW w:w="9990" w:type="dxa"/>
            <w:tcBorders>
              <w:right w:val="single" w:sz="12" w:space="0" w:color="auto"/>
            </w:tcBorders>
          </w:tcPr>
          <w:p w14:paraId="7E85A5E9" w14:textId="2310BFA7" w:rsidR="000B419E" w:rsidRPr="000D0F33" w:rsidRDefault="000B419E" w:rsidP="00BB74D5">
            <w:pPr>
              <w:pStyle w:val="Default"/>
              <w:rPr>
                <w:rFonts w:asciiTheme="minorHAnsi" w:hAnsiTheme="minorHAnsi"/>
                <w:color w:val="auto"/>
                <w:sz w:val="18"/>
                <w:szCs w:val="18"/>
              </w:rPr>
            </w:pPr>
            <w:r w:rsidRPr="000D0F33">
              <w:rPr>
                <w:rFonts w:asciiTheme="minorHAnsi" w:hAnsiTheme="minorHAnsi" w:cstheme="minorBidi"/>
                <w:color w:val="000000" w:themeColor="text1"/>
                <w:sz w:val="18"/>
                <w:szCs w:val="18"/>
                <w:lang w:eastAsia="en-US"/>
              </w:rPr>
              <w:t>As per Appendix 3 of the</w:t>
            </w:r>
            <w:r w:rsidRPr="000D0F33">
              <w:rPr>
                <w:rFonts w:asciiTheme="minorHAnsi" w:hAnsiTheme="minorHAnsi"/>
                <w:color w:val="auto"/>
                <w:sz w:val="18"/>
                <w:szCs w:val="18"/>
              </w:rPr>
              <w:t xml:space="preserve"> </w:t>
            </w:r>
            <w:hyperlink r:id="rId14" w:history="1">
              <w:r w:rsidRPr="000D0F33">
                <w:rPr>
                  <w:rStyle w:val="Hyperlink"/>
                  <w:rFonts w:asciiTheme="minorHAnsi" w:hAnsiTheme="minorHAnsi"/>
                  <w:color w:val="auto"/>
                  <w:sz w:val="18"/>
                  <w:szCs w:val="18"/>
                </w:rPr>
                <w:t>J.P. Morgan Execution Policy,</w:t>
              </w:r>
            </w:hyperlink>
            <w:r w:rsidRPr="000D0F33">
              <w:rPr>
                <w:rFonts w:asciiTheme="minorHAnsi" w:hAnsiTheme="minorHAnsi"/>
                <w:color w:val="auto"/>
                <w:sz w:val="18"/>
                <w:szCs w:val="18"/>
              </w:rPr>
              <w:t xml:space="preserve"> J.P. Morgan AG</w:t>
            </w:r>
            <w:r w:rsidRPr="000D0F33">
              <w:rPr>
                <w:rFonts w:asciiTheme="minorHAnsi" w:hAnsiTheme="minorHAnsi"/>
                <w:bCs/>
                <w:color w:val="000000" w:themeColor="text1"/>
                <w:sz w:val="18"/>
                <w:szCs w:val="18"/>
              </w:rPr>
              <w:t xml:space="preserve"> </w:t>
            </w:r>
            <w:r w:rsidRPr="000D0F33">
              <w:rPr>
                <w:rFonts w:asciiTheme="minorHAnsi" w:hAnsiTheme="minorHAnsi"/>
                <w:color w:val="auto"/>
                <w:sz w:val="18"/>
                <w:szCs w:val="18"/>
              </w:rPr>
              <w:t xml:space="preserve">monitors the effectiveness of its execution arrangements and assesses on a regular basis whether the execution venues it has selected provide for the best possible result for orders it executes on behalf of its clients. </w:t>
            </w:r>
            <w:r w:rsidRPr="000D0F33">
              <w:rPr>
                <w:rFonts w:asciiTheme="minorHAnsi" w:hAnsiTheme="minorHAnsi"/>
                <w:sz w:val="18"/>
                <w:szCs w:val="18"/>
              </w:rPr>
              <w:t>Both readily available market data and J.P. Morgan internal transaction data are used to assess the quality of execution for in-scope orders</w:t>
            </w:r>
            <w:r w:rsidRPr="000D0F33">
              <w:rPr>
                <w:rFonts w:asciiTheme="minorHAnsi" w:hAnsiTheme="minorHAnsi"/>
                <w:color w:val="auto"/>
                <w:sz w:val="18"/>
                <w:szCs w:val="18"/>
              </w:rPr>
              <w:t>. Thresholds comparing execution factors with such data are set by J.P. Morgan to monitor execution quality. The results of Best Execution monitoring are reviewed by control-related functions within J.P. Morgan on an ongoing basis and are discussed by J.P. Morgan management and control functions within a committee that has been established for the purpose of governing Best Execution.</w:t>
            </w:r>
          </w:p>
        </w:tc>
      </w:tr>
      <w:tr w:rsidR="000B419E" w:rsidRPr="000D0F33" w14:paraId="29CD9BE7" w14:textId="77777777" w:rsidTr="00F154DD">
        <w:tc>
          <w:tcPr>
            <w:tcW w:w="4410" w:type="dxa"/>
            <w:tcBorders>
              <w:left w:val="single" w:sz="12" w:space="0" w:color="auto"/>
              <w:bottom w:val="single" w:sz="12" w:space="0" w:color="auto"/>
            </w:tcBorders>
            <w:shd w:val="clear" w:color="auto" w:fill="D9D9D9" w:themeFill="background1" w:themeFillShade="D9"/>
          </w:tcPr>
          <w:p w14:paraId="33D79F24" w14:textId="77777777" w:rsidR="000B419E" w:rsidRPr="000D0F33" w:rsidRDefault="000B419E" w:rsidP="00F154DD">
            <w:pPr>
              <w:rPr>
                <w:color w:val="000000" w:themeColor="text1"/>
                <w:sz w:val="18"/>
                <w:szCs w:val="18"/>
              </w:rPr>
            </w:pPr>
            <w:r w:rsidRPr="000D0F33">
              <w:rPr>
                <w:color w:val="000000" w:themeColor="text1"/>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7200F540" w14:textId="77777777" w:rsidR="000B419E" w:rsidRPr="000D0F33" w:rsidRDefault="000B419E" w:rsidP="00F154DD">
            <w:pPr>
              <w:spacing w:after="120"/>
              <w:rPr>
                <w:i/>
                <w:color w:val="000000" w:themeColor="text1"/>
                <w:sz w:val="18"/>
                <w:szCs w:val="18"/>
              </w:rPr>
            </w:pPr>
            <w:r w:rsidRPr="000D0F33">
              <w:rPr>
                <w:color w:val="000000" w:themeColor="text1"/>
                <w:sz w:val="18"/>
                <w:szCs w:val="18"/>
              </w:rPr>
              <w:t>Not Applicable</w:t>
            </w:r>
          </w:p>
        </w:tc>
      </w:tr>
    </w:tbl>
    <w:p w14:paraId="3289ACF1" w14:textId="48D24B69" w:rsidR="00475742" w:rsidRPr="000D0F33" w:rsidRDefault="00475742">
      <w:pPr>
        <w:rPr>
          <w:color w:val="FF0000"/>
          <w:sz w:val="18"/>
          <w:szCs w:val="18"/>
        </w:rPr>
      </w:pPr>
    </w:p>
    <w:p w14:paraId="66291AB6" w14:textId="0B21C501" w:rsidR="00D660CF" w:rsidRPr="000D0F33" w:rsidRDefault="00D660CF">
      <w:pPr>
        <w:rPr>
          <w:color w:val="FF0000"/>
          <w:sz w:val="18"/>
          <w:szCs w:val="18"/>
        </w:rPr>
      </w:pPr>
      <w:r w:rsidRPr="000D0F33">
        <w:rPr>
          <w:color w:val="FF0000"/>
          <w:sz w:val="18"/>
          <w:szCs w:val="18"/>
        </w:rPr>
        <w:br w:type="page"/>
      </w:r>
    </w:p>
    <w:p w14:paraId="7D4D3EDA" w14:textId="320C3EC7" w:rsidR="004C1AF2" w:rsidRPr="000D0F33" w:rsidRDefault="004C1AF2" w:rsidP="004C1AF2">
      <w:pPr>
        <w:rPr>
          <w:color w:val="FF0000"/>
          <w:sz w:val="18"/>
          <w:szCs w:val="18"/>
        </w:rPr>
      </w:pPr>
    </w:p>
    <w:tbl>
      <w:tblPr>
        <w:tblStyle w:val="TableGrid"/>
        <w:tblW w:w="14400" w:type="dxa"/>
        <w:tblInd w:w="468" w:type="dxa"/>
        <w:tblLook w:val="04A0" w:firstRow="1" w:lastRow="0" w:firstColumn="1" w:lastColumn="0" w:noHBand="0" w:noVBand="1"/>
      </w:tblPr>
      <w:tblGrid>
        <w:gridCol w:w="4410"/>
        <w:gridCol w:w="9990"/>
      </w:tblGrid>
      <w:tr w:rsidR="00503C42" w:rsidRPr="000D0F33" w14:paraId="259D7562"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3B2CBECB" w14:textId="77777777" w:rsidR="00503C42" w:rsidRPr="000D0F33" w:rsidRDefault="00503C42" w:rsidP="006C3FC4">
            <w:pPr>
              <w:rPr>
                <w:sz w:val="18"/>
                <w:szCs w:val="18"/>
              </w:rPr>
            </w:pPr>
            <w:r w:rsidRPr="000D0F33">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3EA045AB" w14:textId="77777777" w:rsidR="00503C42" w:rsidRPr="000D0F33" w:rsidRDefault="00503C42" w:rsidP="006C3FC4">
            <w:pPr>
              <w:spacing w:after="120"/>
              <w:jc w:val="both"/>
              <w:rPr>
                <w:sz w:val="18"/>
                <w:szCs w:val="18"/>
              </w:rPr>
            </w:pPr>
            <w:r w:rsidRPr="000D0F33">
              <w:rPr>
                <w:sz w:val="18"/>
                <w:szCs w:val="18"/>
              </w:rPr>
              <w:t>J.P. Morgan AG (549300ZK53CNGEEI6A29)</w:t>
            </w:r>
          </w:p>
        </w:tc>
      </w:tr>
      <w:tr w:rsidR="00503C42" w:rsidRPr="000D0F33" w14:paraId="01B8E803"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24ACF649" w14:textId="77777777" w:rsidR="00503C42" w:rsidRPr="000D0F33" w:rsidRDefault="00503C42" w:rsidP="006C3FC4">
            <w:pPr>
              <w:rPr>
                <w:sz w:val="18"/>
                <w:szCs w:val="18"/>
              </w:rPr>
            </w:pPr>
            <w:r w:rsidRPr="000D0F33">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1A712584" w14:textId="77777777" w:rsidR="00503C42" w:rsidRPr="000D0F33" w:rsidRDefault="00503C42" w:rsidP="006C3FC4">
            <w:pPr>
              <w:spacing w:after="120"/>
              <w:jc w:val="both"/>
              <w:rPr>
                <w:color w:val="0000FF"/>
                <w:sz w:val="18"/>
                <w:szCs w:val="18"/>
              </w:rPr>
            </w:pPr>
            <w:r w:rsidRPr="000D0F33">
              <w:rPr>
                <w:sz w:val="18"/>
                <w:szCs w:val="18"/>
              </w:rPr>
              <w:t>Currency derivatives: Swaps, forwards, and other currency derivatives</w:t>
            </w:r>
          </w:p>
        </w:tc>
      </w:tr>
      <w:tr w:rsidR="00503C42" w:rsidRPr="000D0F33" w14:paraId="586AFDB1" w14:textId="77777777" w:rsidTr="006C3FC4">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2DA97144" w14:textId="77777777" w:rsidR="00503C42" w:rsidRPr="000D0F33" w:rsidRDefault="00503C42" w:rsidP="006C3FC4">
            <w:pPr>
              <w:jc w:val="center"/>
              <w:rPr>
                <w:sz w:val="18"/>
                <w:szCs w:val="18"/>
              </w:rPr>
            </w:pPr>
            <w:r w:rsidRPr="000D0F33">
              <w:rPr>
                <w:sz w:val="18"/>
                <w:szCs w:val="18"/>
              </w:rPr>
              <w:t>Summary of Analysis</w:t>
            </w:r>
          </w:p>
        </w:tc>
      </w:tr>
      <w:tr w:rsidR="00503C42" w:rsidRPr="000D0F33" w14:paraId="008E6C08" w14:textId="77777777" w:rsidTr="006C3FC4">
        <w:trPr>
          <w:trHeight w:val="827"/>
        </w:trPr>
        <w:tc>
          <w:tcPr>
            <w:tcW w:w="14400" w:type="dxa"/>
            <w:gridSpan w:val="2"/>
            <w:tcBorders>
              <w:left w:val="single" w:sz="12" w:space="0" w:color="auto"/>
              <w:right w:val="single" w:sz="12" w:space="0" w:color="auto"/>
            </w:tcBorders>
          </w:tcPr>
          <w:p w14:paraId="1B9364CA" w14:textId="6E50DE22" w:rsidR="00503C42" w:rsidRPr="000D0F33" w:rsidRDefault="00503C42" w:rsidP="006C3FC4">
            <w:pPr>
              <w:spacing w:after="120"/>
              <w:jc w:val="both"/>
              <w:rPr>
                <w:sz w:val="18"/>
                <w:szCs w:val="18"/>
              </w:rPr>
            </w:pPr>
            <w:r w:rsidRPr="000D0F33">
              <w:rPr>
                <w:sz w:val="18"/>
                <w:szCs w:val="18"/>
              </w:rPr>
              <w:t xml:space="preserve">In respect of eCommerce Orders, J.P. Morgan AG collated quoted bid/offer spreads over a rolling time frame, and analysed </w:t>
            </w:r>
            <w:r w:rsidR="003951FB" w:rsidRPr="000D0F33">
              <w:rPr>
                <w:sz w:val="18"/>
                <w:szCs w:val="18"/>
              </w:rPr>
              <w:t>this</w:t>
            </w:r>
            <w:r w:rsidRPr="000D0F33">
              <w:rPr>
                <w:sz w:val="18"/>
                <w:szCs w:val="18"/>
              </w:rPr>
              <w:t xml:space="preserve"> in comparison to completed leave transactions to identify outliers. For all in scope transactions, J.P. Morgan AG is able to demonstrate that Best Execution was provided. Clients direct their orders to J.P.Morgan AG to execute as principal, and we therefore treat all orders as directed as we are the sole execution venue. </w:t>
            </w:r>
          </w:p>
        </w:tc>
      </w:tr>
      <w:tr w:rsidR="00503C42" w:rsidRPr="000D0F33" w14:paraId="0A56FBDE" w14:textId="77777777" w:rsidTr="006C3FC4">
        <w:tc>
          <w:tcPr>
            <w:tcW w:w="4410" w:type="dxa"/>
            <w:tcBorders>
              <w:left w:val="single" w:sz="12" w:space="0" w:color="auto"/>
            </w:tcBorders>
            <w:shd w:val="clear" w:color="auto" w:fill="D9D9D9" w:themeFill="background1" w:themeFillShade="D9"/>
          </w:tcPr>
          <w:p w14:paraId="72D32FCB" w14:textId="77777777" w:rsidR="00503C42" w:rsidRPr="000D0F33" w:rsidRDefault="00503C42" w:rsidP="006C3FC4">
            <w:pPr>
              <w:rPr>
                <w:sz w:val="18"/>
                <w:szCs w:val="18"/>
              </w:rPr>
            </w:pPr>
            <w:r w:rsidRPr="000D0F33">
              <w:rPr>
                <w:sz w:val="18"/>
                <w:szCs w:val="18"/>
              </w:rPr>
              <w:t>Relative importance given to execution factors &amp; other considerations</w:t>
            </w:r>
          </w:p>
        </w:tc>
        <w:tc>
          <w:tcPr>
            <w:tcW w:w="9990" w:type="dxa"/>
            <w:tcBorders>
              <w:right w:val="single" w:sz="12" w:space="0" w:color="auto"/>
            </w:tcBorders>
          </w:tcPr>
          <w:p w14:paraId="2ADD6420" w14:textId="77777777" w:rsidR="00503C42" w:rsidRPr="000D0F33" w:rsidRDefault="00503C42" w:rsidP="006C3FC4">
            <w:pPr>
              <w:spacing w:after="120"/>
              <w:jc w:val="both"/>
              <w:rPr>
                <w:i/>
                <w:sz w:val="18"/>
                <w:szCs w:val="18"/>
              </w:rPr>
            </w:pPr>
            <w:r w:rsidRPr="000D0F33">
              <w:rPr>
                <w:sz w:val="18"/>
                <w:szCs w:val="18"/>
              </w:rPr>
              <w:t xml:space="preserve">As per Appendix 5 of the </w:t>
            </w:r>
            <w:hyperlink r:id="rId15" w:history="1">
              <w:r w:rsidRPr="000D0F33">
                <w:rPr>
                  <w:rStyle w:val="Hyperlink"/>
                  <w:sz w:val="18"/>
                  <w:szCs w:val="18"/>
                </w:rPr>
                <w:t>J.P. Morgan Execution Policy</w:t>
              </w:r>
            </w:hyperlink>
            <w:r w:rsidRPr="000D0F33">
              <w:rPr>
                <w:sz w:val="18"/>
                <w:szCs w:val="18"/>
              </w:rPr>
              <w:t xml:space="preserve"> price is the most important factor. After price, the likelihood of execution and the ability to fill a client’s order in its entirety – or at least a substantial part of it – are the most important factors. This latter factor increases in importance in situations where access to liquidity in the relevant instrument is constrained in some way – for example, if the currencies of the transaction are illiquid, or if the limit price provided is not marketable.</w:t>
            </w:r>
          </w:p>
        </w:tc>
      </w:tr>
      <w:tr w:rsidR="00503C42" w:rsidRPr="000D0F33" w14:paraId="1764196A" w14:textId="77777777" w:rsidTr="006C3FC4">
        <w:tc>
          <w:tcPr>
            <w:tcW w:w="4410" w:type="dxa"/>
            <w:tcBorders>
              <w:left w:val="single" w:sz="12" w:space="0" w:color="auto"/>
            </w:tcBorders>
            <w:shd w:val="clear" w:color="auto" w:fill="D9D9D9" w:themeFill="background1" w:themeFillShade="D9"/>
          </w:tcPr>
          <w:p w14:paraId="460917C4" w14:textId="77777777" w:rsidR="00503C42" w:rsidRPr="000D0F33" w:rsidRDefault="00503C42" w:rsidP="006C3FC4">
            <w:pPr>
              <w:rPr>
                <w:sz w:val="18"/>
                <w:szCs w:val="18"/>
              </w:rPr>
            </w:pPr>
            <w:r w:rsidRPr="000D0F33">
              <w:rPr>
                <w:sz w:val="18"/>
                <w:szCs w:val="18"/>
              </w:rPr>
              <w:t>Execution venue close links / conflicts of interest / common ownerships</w:t>
            </w:r>
          </w:p>
        </w:tc>
        <w:tc>
          <w:tcPr>
            <w:tcW w:w="9990" w:type="dxa"/>
            <w:tcBorders>
              <w:right w:val="single" w:sz="12" w:space="0" w:color="auto"/>
            </w:tcBorders>
          </w:tcPr>
          <w:p w14:paraId="65E182CF" w14:textId="77777777" w:rsidR="00503C42" w:rsidRPr="000D0F33" w:rsidRDefault="00503C42" w:rsidP="006C3FC4">
            <w:pPr>
              <w:rPr>
                <w:sz w:val="18"/>
                <w:szCs w:val="18"/>
              </w:rPr>
            </w:pPr>
            <w:r w:rsidRPr="000D0F33">
              <w:rPr>
                <w:sz w:val="18"/>
                <w:szCs w:val="18"/>
              </w:rPr>
              <w:t>J.P. Morgan AG is a fully owned subsidiary of JPMorgan Chase &amp; Co.</w:t>
            </w:r>
          </w:p>
        </w:tc>
      </w:tr>
      <w:tr w:rsidR="00503C42" w:rsidRPr="000D0F33" w14:paraId="2A6D19F6" w14:textId="77777777" w:rsidTr="006C3FC4">
        <w:tc>
          <w:tcPr>
            <w:tcW w:w="4410" w:type="dxa"/>
            <w:tcBorders>
              <w:left w:val="single" w:sz="12" w:space="0" w:color="auto"/>
            </w:tcBorders>
            <w:shd w:val="clear" w:color="auto" w:fill="D9D9D9" w:themeFill="background1" w:themeFillShade="D9"/>
          </w:tcPr>
          <w:p w14:paraId="762FC5A8" w14:textId="77777777" w:rsidR="00503C42" w:rsidRPr="000D0F33" w:rsidRDefault="00503C42" w:rsidP="006C3FC4">
            <w:pPr>
              <w:rPr>
                <w:sz w:val="18"/>
                <w:szCs w:val="18"/>
              </w:rPr>
            </w:pPr>
            <w:r w:rsidRPr="000D0F33">
              <w:rPr>
                <w:sz w:val="18"/>
                <w:szCs w:val="18"/>
              </w:rPr>
              <w:t>Specific execution venue arrangements</w:t>
            </w:r>
          </w:p>
        </w:tc>
        <w:tc>
          <w:tcPr>
            <w:tcW w:w="9990" w:type="dxa"/>
            <w:tcBorders>
              <w:right w:val="single" w:sz="12" w:space="0" w:color="auto"/>
            </w:tcBorders>
          </w:tcPr>
          <w:p w14:paraId="21BEA92E" w14:textId="77777777" w:rsidR="00503C42" w:rsidRPr="000D0F33" w:rsidRDefault="00503C42" w:rsidP="006C3FC4">
            <w:pPr>
              <w:rPr>
                <w:sz w:val="18"/>
                <w:szCs w:val="18"/>
              </w:rPr>
            </w:pPr>
            <w:r w:rsidRPr="000D0F33">
              <w:rPr>
                <w:sz w:val="18"/>
                <w:szCs w:val="18"/>
              </w:rPr>
              <w:t xml:space="preserve">J.P. Morgan AG is the sole execution venue. </w:t>
            </w:r>
          </w:p>
        </w:tc>
      </w:tr>
      <w:tr w:rsidR="00503C42" w:rsidRPr="000D0F33" w14:paraId="3123FB67" w14:textId="77777777" w:rsidTr="006C3FC4">
        <w:trPr>
          <w:trHeight w:val="368"/>
        </w:trPr>
        <w:tc>
          <w:tcPr>
            <w:tcW w:w="4410" w:type="dxa"/>
            <w:tcBorders>
              <w:left w:val="single" w:sz="12" w:space="0" w:color="auto"/>
            </w:tcBorders>
            <w:shd w:val="clear" w:color="auto" w:fill="D9D9D9" w:themeFill="background1" w:themeFillShade="D9"/>
          </w:tcPr>
          <w:p w14:paraId="3689BA73" w14:textId="77777777" w:rsidR="00503C42" w:rsidRPr="000D0F33" w:rsidRDefault="00503C42" w:rsidP="006C3FC4">
            <w:pPr>
              <w:rPr>
                <w:sz w:val="18"/>
                <w:szCs w:val="18"/>
              </w:rPr>
            </w:pPr>
            <w:r w:rsidRPr="000D0F33">
              <w:rPr>
                <w:sz w:val="18"/>
                <w:szCs w:val="18"/>
              </w:rPr>
              <w:t>Changes to execution venues</w:t>
            </w:r>
          </w:p>
        </w:tc>
        <w:tc>
          <w:tcPr>
            <w:tcW w:w="9990" w:type="dxa"/>
            <w:tcBorders>
              <w:right w:val="single" w:sz="12" w:space="0" w:color="auto"/>
            </w:tcBorders>
          </w:tcPr>
          <w:p w14:paraId="5CC29D93" w14:textId="77777777" w:rsidR="00503C42" w:rsidRPr="000D0F33" w:rsidRDefault="00503C42" w:rsidP="006C3FC4">
            <w:pPr>
              <w:spacing w:after="120"/>
              <w:rPr>
                <w:sz w:val="18"/>
                <w:szCs w:val="18"/>
              </w:rPr>
            </w:pPr>
            <w:r w:rsidRPr="000D0F33">
              <w:rPr>
                <w:sz w:val="18"/>
                <w:szCs w:val="18"/>
              </w:rPr>
              <w:t>Not Applicable</w:t>
            </w:r>
          </w:p>
        </w:tc>
      </w:tr>
      <w:tr w:rsidR="00503C42" w:rsidRPr="000D0F33" w14:paraId="473EFD3F" w14:textId="77777777" w:rsidTr="006C3FC4">
        <w:tc>
          <w:tcPr>
            <w:tcW w:w="4410" w:type="dxa"/>
            <w:tcBorders>
              <w:left w:val="single" w:sz="12" w:space="0" w:color="auto"/>
            </w:tcBorders>
            <w:shd w:val="clear" w:color="auto" w:fill="D9D9D9" w:themeFill="background1" w:themeFillShade="D9"/>
          </w:tcPr>
          <w:p w14:paraId="4C706094" w14:textId="77777777" w:rsidR="00503C42" w:rsidRPr="000D0F33" w:rsidRDefault="00503C42" w:rsidP="006C3FC4">
            <w:pPr>
              <w:rPr>
                <w:sz w:val="18"/>
                <w:szCs w:val="18"/>
              </w:rPr>
            </w:pPr>
            <w:r w:rsidRPr="000D0F33">
              <w:rPr>
                <w:sz w:val="18"/>
                <w:szCs w:val="18"/>
              </w:rPr>
              <w:t>Client distinctions</w:t>
            </w:r>
          </w:p>
        </w:tc>
        <w:tc>
          <w:tcPr>
            <w:tcW w:w="9990" w:type="dxa"/>
            <w:tcBorders>
              <w:right w:val="single" w:sz="12" w:space="0" w:color="auto"/>
            </w:tcBorders>
          </w:tcPr>
          <w:p w14:paraId="0E35F685" w14:textId="77777777" w:rsidR="00503C42" w:rsidRPr="000D0F33" w:rsidRDefault="00503C42" w:rsidP="006C3FC4">
            <w:pPr>
              <w:spacing w:after="120"/>
              <w:rPr>
                <w:sz w:val="18"/>
                <w:szCs w:val="18"/>
              </w:rPr>
            </w:pPr>
            <w:r w:rsidRPr="000D0F33">
              <w:rPr>
                <w:sz w:val="18"/>
                <w:szCs w:val="18"/>
              </w:rPr>
              <w:t xml:space="preserve">J.P. Morgan AG only deals with Professional clients for the purposes of Best Execution.  </w:t>
            </w:r>
          </w:p>
        </w:tc>
      </w:tr>
      <w:tr w:rsidR="00503C42" w:rsidRPr="000D0F33" w14:paraId="5A6D2BAB" w14:textId="77777777" w:rsidTr="006C3FC4">
        <w:trPr>
          <w:trHeight w:val="70"/>
        </w:trPr>
        <w:tc>
          <w:tcPr>
            <w:tcW w:w="4410" w:type="dxa"/>
            <w:tcBorders>
              <w:left w:val="single" w:sz="12" w:space="0" w:color="auto"/>
            </w:tcBorders>
            <w:shd w:val="clear" w:color="auto" w:fill="D9D9D9" w:themeFill="background1" w:themeFillShade="D9"/>
          </w:tcPr>
          <w:p w14:paraId="568624D0" w14:textId="77777777" w:rsidR="00503C42" w:rsidRPr="000D0F33" w:rsidRDefault="00503C42" w:rsidP="006C3FC4">
            <w:pPr>
              <w:rPr>
                <w:sz w:val="18"/>
                <w:szCs w:val="18"/>
              </w:rPr>
            </w:pPr>
            <w:r w:rsidRPr="000D0F33">
              <w:rPr>
                <w:sz w:val="18"/>
                <w:szCs w:val="18"/>
              </w:rPr>
              <w:t>Use of data/tools relating to the quality of execution</w:t>
            </w:r>
          </w:p>
        </w:tc>
        <w:tc>
          <w:tcPr>
            <w:tcW w:w="9990" w:type="dxa"/>
            <w:tcBorders>
              <w:right w:val="single" w:sz="12" w:space="0" w:color="auto"/>
            </w:tcBorders>
          </w:tcPr>
          <w:p w14:paraId="733F31FA" w14:textId="77777777" w:rsidR="00503C42" w:rsidRPr="000D0F33" w:rsidRDefault="00503C42" w:rsidP="006C3FC4">
            <w:pPr>
              <w:spacing w:after="120"/>
              <w:rPr>
                <w:sz w:val="18"/>
                <w:szCs w:val="18"/>
              </w:rPr>
            </w:pPr>
            <w:r w:rsidRPr="000D0F33">
              <w:rPr>
                <w:sz w:val="18"/>
                <w:szCs w:val="18"/>
              </w:rPr>
              <w:t xml:space="preserve">As per Appendix 5 of the </w:t>
            </w:r>
            <w:hyperlink r:id="rId16" w:history="1">
              <w:r w:rsidRPr="000D0F33">
                <w:rPr>
                  <w:rStyle w:val="Hyperlink"/>
                  <w:sz w:val="18"/>
                  <w:szCs w:val="18"/>
                </w:rPr>
                <w:t>J.P. Morgan Execution Policy,</w:t>
              </w:r>
            </w:hyperlink>
            <w:r w:rsidRPr="000D0F33">
              <w:rPr>
                <w:sz w:val="18"/>
                <w:szCs w:val="18"/>
              </w:rPr>
              <w:t xml:space="preserve"> a range of market data sources are utilised by J.P. Morgan’s eCommerce business in the formation of principal risk prices. Both readily available market data and J.P. Morgan internal transaction data are used to assess the quality of execution for in-scope orders. Thresholds comparing execution pricing with such data are set by J.P. Morgan to monitor execution quality. The results of Best Execution monitoring are reviewed by control-related functions within J.P. Morgan on an ongoing basis and are discussed by J.P. Morgan management and control functions within a committee that has been established for the purpose of governing Best Execution</w:t>
            </w:r>
          </w:p>
        </w:tc>
      </w:tr>
      <w:tr w:rsidR="00503C42" w:rsidRPr="000D0F33" w14:paraId="7D114199" w14:textId="77777777" w:rsidTr="006C3FC4">
        <w:tc>
          <w:tcPr>
            <w:tcW w:w="4410" w:type="dxa"/>
            <w:tcBorders>
              <w:left w:val="single" w:sz="12" w:space="0" w:color="auto"/>
              <w:bottom w:val="single" w:sz="12" w:space="0" w:color="auto"/>
            </w:tcBorders>
            <w:shd w:val="clear" w:color="auto" w:fill="D9D9D9" w:themeFill="background1" w:themeFillShade="D9"/>
          </w:tcPr>
          <w:p w14:paraId="29313609" w14:textId="77777777" w:rsidR="00503C42" w:rsidRPr="000D0F33" w:rsidRDefault="00503C42" w:rsidP="006C3FC4">
            <w:pPr>
              <w:rPr>
                <w:sz w:val="18"/>
                <w:szCs w:val="18"/>
              </w:rPr>
            </w:pPr>
            <w:r w:rsidRPr="000D0F33">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5FF2B4DC" w14:textId="77777777" w:rsidR="00503C42" w:rsidRPr="000D0F33" w:rsidRDefault="00503C42" w:rsidP="006C3FC4">
            <w:pPr>
              <w:spacing w:after="120"/>
              <w:rPr>
                <w:sz w:val="18"/>
                <w:szCs w:val="18"/>
              </w:rPr>
            </w:pPr>
            <w:r w:rsidRPr="000D0F33">
              <w:rPr>
                <w:sz w:val="18"/>
                <w:szCs w:val="18"/>
              </w:rPr>
              <w:t>Not Applicable</w:t>
            </w:r>
          </w:p>
        </w:tc>
      </w:tr>
    </w:tbl>
    <w:p w14:paraId="46775A77" w14:textId="5DB78141" w:rsidR="000303E1" w:rsidRPr="000D0F33" w:rsidRDefault="000303E1" w:rsidP="007A6941">
      <w:pPr>
        <w:rPr>
          <w:color w:val="FF0000"/>
          <w:sz w:val="18"/>
          <w:szCs w:val="18"/>
        </w:rPr>
      </w:pPr>
    </w:p>
    <w:p w14:paraId="63E690B3" w14:textId="77777777" w:rsidR="000303E1" w:rsidRPr="000D0F33" w:rsidRDefault="000303E1">
      <w:pPr>
        <w:rPr>
          <w:color w:val="FF0000"/>
          <w:sz w:val="18"/>
          <w:szCs w:val="18"/>
        </w:rPr>
      </w:pPr>
      <w:r w:rsidRPr="000D0F33">
        <w:rPr>
          <w:color w:val="FF0000"/>
          <w:sz w:val="18"/>
          <w:szCs w:val="18"/>
        </w:rPr>
        <w:br w:type="page"/>
      </w:r>
    </w:p>
    <w:tbl>
      <w:tblPr>
        <w:tblStyle w:val="TableGrid"/>
        <w:tblW w:w="14400" w:type="dxa"/>
        <w:tblInd w:w="468" w:type="dxa"/>
        <w:tblLook w:val="04A0" w:firstRow="1" w:lastRow="0" w:firstColumn="1" w:lastColumn="0" w:noHBand="0" w:noVBand="1"/>
      </w:tblPr>
      <w:tblGrid>
        <w:gridCol w:w="4410"/>
        <w:gridCol w:w="9990"/>
      </w:tblGrid>
      <w:tr w:rsidR="002B0BC5" w:rsidRPr="000D0F33" w14:paraId="322CC0B3" w14:textId="77777777" w:rsidTr="004B04A6">
        <w:tc>
          <w:tcPr>
            <w:tcW w:w="4410" w:type="dxa"/>
            <w:tcBorders>
              <w:top w:val="single" w:sz="12" w:space="0" w:color="auto"/>
              <w:left w:val="single" w:sz="12" w:space="0" w:color="auto"/>
              <w:bottom w:val="single" w:sz="12" w:space="0" w:color="auto"/>
              <w:right w:val="single" w:sz="4" w:space="0" w:color="auto"/>
            </w:tcBorders>
            <w:shd w:val="clear" w:color="auto" w:fill="D9D9D9"/>
          </w:tcPr>
          <w:p w14:paraId="3980D108" w14:textId="77777777" w:rsidR="002B0BC5" w:rsidRPr="000D0F33" w:rsidRDefault="002B0BC5" w:rsidP="004B04A6">
            <w:pPr>
              <w:rPr>
                <w:rFonts w:eastAsia="Calibri" w:cs="Times New Roman"/>
                <w:sz w:val="18"/>
                <w:szCs w:val="18"/>
              </w:rPr>
            </w:pPr>
            <w:r w:rsidRPr="000D0F33">
              <w:rPr>
                <w:rFonts w:eastAsia="Calibri" w:cs="Times New Roman"/>
                <w:sz w:val="18"/>
                <w:szCs w:val="18"/>
              </w:rPr>
              <w:lastRenderedPageBreak/>
              <w:t xml:space="preserve">Legal Entity </w:t>
            </w:r>
          </w:p>
        </w:tc>
        <w:tc>
          <w:tcPr>
            <w:tcW w:w="9990" w:type="dxa"/>
            <w:tcBorders>
              <w:top w:val="single" w:sz="12" w:space="0" w:color="auto"/>
              <w:left w:val="single" w:sz="4" w:space="0" w:color="auto"/>
              <w:bottom w:val="single" w:sz="12" w:space="0" w:color="auto"/>
              <w:right w:val="single" w:sz="12" w:space="0" w:color="auto"/>
            </w:tcBorders>
          </w:tcPr>
          <w:p w14:paraId="1DDFEA50" w14:textId="77777777" w:rsidR="002B0BC5" w:rsidRPr="000D0F33" w:rsidRDefault="002B0BC5" w:rsidP="004B04A6">
            <w:pPr>
              <w:rPr>
                <w:sz w:val="18"/>
                <w:szCs w:val="18"/>
              </w:rPr>
            </w:pPr>
            <w:r w:rsidRPr="000D0F33">
              <w:rPr>
                <w:sz w:val="18"/>
                <w:szCs w:val="18"/>
              </w:rPr>
              <w:t>J.P. Morgan AG (549300ZK53CNGEEI6A29)</w:t>
            </w:r>
          </w:p>
        </w:tc>
      </w:tr>
      <w:tr w:rsidR="002B0BC5" w:rsidRPr="000D0F33" w14:paraId="57B2CFDC" w14:textId="77777777" w:rsidTr="004B04A6">
        <w:tc>
          <w:tcPr>
            <w:tcW w:w="4410" w:type="dxa"/>
            <w:tcBorders>
              <w:top w:val="single" w:sz="12" w:space="0" w:color="auto"/>
              <w:left w:val="single" w:sz="12" w:space="0" w:color="auto"/>
              <w:bottom w:val="single" w:sz="12" w:space="0" w:color="auto"/>
              <w:right w:val="single" w:sz="4" w:space="0" w:color="auto"/>
            </w:tcBorders>
            <w:shd w:val="clear" w:color="auto" w:fill="D9D9D9"/>
          </w:tcPr>
          <w:p w14:paraId="79E9715C" w14:textId="77777777" w:rsidR="002B0BC5" w:rsidRPr="000D0F33" w:rsidRDefault="002B0BC5" w:rsidP="004B04A6">
            <w:pPr>
              <w:rPr>
                <w:rFonts w:eastAsia="Calibri" w:cs="Times New Roman"/>
                <w:sz w:val="18"/>
                <w:szCs w:val="18"/>
              </w:rPr>
            </w:pPr>
            <w:r w:rsidRPr="000D0F33">
              <w:rPr>
                <w:rFonts w:eastAsia="Calibri" w:cs="Times New Roman"/>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0BAECA90" w14:textId="77777777" w:rsidR="002B0BC5" w:rsidRPr="000D0F33" w:rsidRDefault="002B0BC5" w:rsidP="004B04A6">
            <w:pPr>
              <w:rPr>
                <w:rFonts w:eastAsia="Calibri" w:cs="Times New Roman"/>
                <w:sz w:val="18"/>
                <w:szCs w:val="18"/>
              </w:rPr>
            </w:pPr>
            <w:r w:rsidRPr="000D0F33">
              <w:rPr>
                <w:rFonts w:eastAsia="Calibri" w:cs="Times New Roman"/>
                <w:sz w:val="18"/>
                <w:szCs w:val="18"/>
              </w:rPr>
              <w:t xml:space="preserve">Equities – Shares &amp; Depositary Receipts </w:t>
            </w:r>
          </w:p>
          <w:p w14:paraId="4B9DBEC5" w14:textId="77777777" w:rsidR="002B0BC5" w:rsidRPr="000D0F33" w:rsidRDefault="002B0BC5" w:rsidP="004B04A6">
            <w:pPr>
              <w:rPr>
                <w:rFonts w:eastAsia="Calibri" w:cs="Times New Roman"/>
                <w:sz w:val="18"/>
                <w:szCs w:val="18"/>
              </w:rPr>
            </w:pPr>
            <w:r w:rsidRPr="000D0F33">
              <w:rPr>
                <w:rFonts w:eastAsia="Calibri" w:cs="Times New Roman"/>
                <w:sz w:val="18"/>
                <w:szCs w:val="18"/>
              </w:rPr>
              <w:t xml:space="preserve">Exchange traded products (Exchange traded funds, exchange traded notes and exchange traded commodities) </w:t>
            </w:r>
          </w:p>
          <w:p w14:paraId="7DAC57D7" w14:textId="77777777" w:rsidR="002B0BC5" w:rsidRPr="000D0F33" w:rsidRDefault="002B0BC5" w:rsidP="004B04A6">
            <w:pPr>
              <w:rPr>
                <w:rFonts w:eastAsia="Calibri" w:cs="Times New Roman"/>
                <w:color w:val="0000FF"/>
                <w:sz w:val="18"/>
                <w:szCs w:val="18"/>
              </w:rPr>
            </w:pPr>
            <w:r w:rsidRPr="000D0F33">
              <w:rPr>
                <w:rFonts w:eastAsia="Calibri" w:cs="Times New Roman"/>
                <w:sz w:val="18"/>
                <w:szCs w:val="18"/>
              </w:rPr>
              <w:t xml:space="preserve">Other instruments </w:t>
            </w:r>
          </w:p>
        </w:tc>
      </w:tr>
      <w:tr w:rsidR="002B0BC5" w:rsidRPr="000D0F33" w14:paraId="198AA1CE" w14:textId="77777777" w:rsidTr="004B04A6">
        <w:tc>
          <w:tcPr>
            <w:tcW w:w="14400" w:type="dxa"/>
            <w:gridSpan w:val="2"/>
            <w:tcBorders>
              <w:top w:val="single" w:sz="12" w:space="0" w:color="auto"/>
              <w:left w:val="single" w:sz="12" w:space="0" w:color="auto"/>
              <w:right w:val="single" w:sz="12" w:space="0" w:color="auto"/>
            </w:tcBorders>
            <w:shd w:val="clear" w:color="auto" w:fill="D9D9D9"/>
          </w:tcPr>
          <w:p w14:paraId="01DD1566" w14:textId="77777777" w:rsidR="002B0BC5" w:rsidRPr="000D0F33" w:rsidRDefault="002B0BC5" w:rsidP="004B04A6">
            <w:pPr>
              <w:jc w:val="center"/>
              <w:rPr>
                <w:rFonts w:eastAsia="Calibri" w:cs="Times New Roman"/>
                <w:sz w:val="18"/>
                <w:szCs w:val="18"/>
              </w:rPr>
            </w:pPr>
            <w:r w:rsidRPr="000D0F33">
              <w:rPr>
                <w:rFonts w:eastAsia="Calibri" w:cs="Times New Roman"/>
                <w:sz w:val="18"/>
                <w:szCs w:val="18"/>
              </w:rPr>
              <w:t>Summary of Analysis</w:t>
            </w:r>
          </w:p>
        </w:tc>
      </w:tr>
      <w:tr w:rsidR="002B0BC5" w:rsidRPr="000D0F33" w14:paraId="384CCB51" w14:textId="77777777" w:rsidTr="004B04A6">
        <w:tc>
          <w:tcPr>
            <w:tcW w:w="14400" w:type="dxa"/>
            <w:gridSpan w:val="2"/>
            <w:tcBorders>
              <w:left w:val="single" w:sz="12" w:space="0" w:color="auto"/>
              <w:right w:val="single" w:sz="12" w:space="0" w:color="auto"/>
            </w:tcBorders>
          </w:tcPr>
          <w:p w14:paraId="766E14B5" w14:textId="77777777" w:rsidR="002B0BC5" w:rsidRPr="000D0F33" w:rsidRDefault="002B0BC5" w:rsidP="004B04A6">
            <w:pPr>
              <w:spacing w:after="200" w:line="276" w:lineRule="auto"/>
              <w:rPr>
                <w:sz w:val="18"/>
                <w:szCs w:val="18"/>
                <w:u w:val="single"/>
              </w:rPr>
            </w:pPr>
            <w:r w:rsidRPr="000D0F33">
              <w:rPr>
                <w:sz w:val="18"/>
                <w:szCs w:val="18"/>
                <w:u w:val="single"/>
              </w:rPr>
              <w:t>Execution Venue Performance:</w:t>
            </w:r>
          </w:p>
          <w:p w14:paraId="781D4F6C" w14:textId="5F196BEA" w:rsidR="002B0BC5" w:rsidRPr="000D0F33" w:rsidRDefault="002B0BC5" w:rsidP="004B04A6">
            <w:pPr>
              <w:spacing w:after="200" w:line="276" w:lineRule="auto"/>
              <w:ind w:left="360"/>
              <w:rPr>
                <w:sz w:val="18"/>
                <w:szCs w:val="18"/>
              </w:rPr>
            </w:pPr>
            <w:r w:rsidRPr="000D0F33">
              <w:rPr>
                <w:sz w:val="18"/>
                <w:szCs w:val="18"/>
              </w:rPr>
              <w:t xml:space="preserve">J.P. Morgan AG monitored a number of performance factors in relation to the venues listed within Appendix 1 of the </w:t>
            </w:r>
            <w:hyperlink r:id="rId17" w:history="1">
              <w:r w:rsidRPr="000D0F33">
                <w:rPr>
                  <w:rStyle w:val="Hyperlink"/>
                  <w:sz w:val="18"/>
                  <w:szCs w:val="18"/>
                </w:rPr>
                <w:t>J.P. Morgan Execution Policy,</w:t>
              </w:r>
            </w:hyperlink>
            <w:r w:rsidRPr="000D0F33">
              <w:rPr>
                <w:rStyle w:val="Hyperlink"/>
                <w:sz w:val="18"/>
                <w:szCs w:val="18"/>
              </w:rPr>
              <w:t xml:space="preserve"> </w:t>
            </w:r>
            <w:r w:rsidRPr="000D0F33">
              <w:rPr>
                <w:sz w:val="18"/>
                <w:szCs w:val="18"/>
              </w:rPr>
              <w:t>The factors reviewed together with the key observations made are as follows:</w:t>
            </w:r>
          </w:p>
          <w:p w14:paraId="177CE330" w14:textId="77777777" w:rsidR="002B0BC5" w:rsidRPr="000D0F33" w:rsidRDefault="002B0BC5" w:rsidP="004B04A6">
            <w:pPr>
              <w:spacing w:after="200" w:line="276" w:lineRule="auto"/>
              <w:ind w:left="360"/>
              <w:rPr>
                <w:b/>
                <w:sz w:val="18"/>
                <w:szCs w:val="18"/>
              </w:rPr>
            </w:pPr>
            <w:r w:rsidRPr="000D0F33">
              <w:rPr>
                <w:b/>
                <w:sz w:val="18"/>
                <w:szCs w:val="18"/>
              </w:rPr>
              <w:t xml:space="preserve">Access to Liquidity </w:t>
            </w:r>
          </w:p>
          <w:p w14:paraId="2D247324" w14:textId="77777777" w:rsidR="002B0BC5" w:rsidRPr="000D0F33" w:rsidRDefault="002B0BC5" w:rsidP="004B04A6">
            <w:pPr>
              <w:spacing w:after="200" w:line="276" w:lineRule="auto"/>
              <w:ind w:left="720"/>
              <w:rPr>
                <w:sz w:val="18"/>
                <w:szCs w:val="18"/>
              </w:rPr>
            </w:pPr>
            <w:r w:rsidRPr="000D0F33">
              <w:rPr>
                <w:sz w:val="18"/>
                <w:szCs w:val="18"/>
                <w:u w:val="single"/>
              </w:rPr>
              <w:t>Conventional Displayed Trading Venues:</w:t>
            </w:r>
            <w:r w:rsidRPr="000D0F33">
              <w:rPr>
                <w:sz w:val="18"/>
                <w:szCs w:val="18"/>
              </w:rPr>
              <w:t xml:space="preserve"> In line with our execution policy, we maintained access to the primary market for securities in which we act as the executing broker.  Additionally, we maintained access to the following significant pan-European multilateral trading facilities (MTFs):  CBOE, Turquoise, and Aquis.  In combination, these venues provide access to over 99% of displayed liquidity in the relevant markets.</w:t>
            </w:r>
          </w:p>
          <w:p w14:paraId="6A620996" w14:textId="77777777" w:rsidR="002B0BC5" w:rsidRPr="000D0F33" w:rsidRDefault="002B0BC5" w:rsidP="004B04A6">
            <w:pPr>
              <w:spacing w:after="200" w:line="276" w:lineRule="auto"/>
              <w:ind w:left="720"/>
              <w:rPr>
                <w:sz w:val="18"/>
                <w:szCs w:val="18"/>
              </w:rPr>
            </w:pPr>
            <w:r w:rsidRPr="000D0F33">
              <w:rPr>
                <w:sz w:val="18"/>
                <w:szCs w:val="18"/>
                <w:u w:val="single"/>
              </w:rPr>
              <w:t>Non Displayed, Periodic Auction and other Execution Venues:</w:t>
            </w:r>
            <w:r w:rsidRPr="000D0F33">
              <w:rPr>
                <w:sz w:val="18"/>
                <w:szCs w:val="18"/>
              </w:rPr>
              <w:t xml:space="preserve">  In 2019, we added a number of additional venues to provide further access to liquidity. The individual venues are summarised on the following pages.</w:t>
            </w:r>
          </w:p>
          <w:p w14:paraId="4E16B3B5" w14:textId="77777777" w:rsidR="002B0BC5" w:rsidRPr="000D0F33" w:rsidRDefault="002B0BC5" w:rsidP="004B04A6">
            <w:pPr>
              <w:spacing w:after="200" w:line="276" w:lineRule="auto"/>
              <w:ind w:left="360"/>
              <w:rPr>
                <w:b/>
                <w:sz w:val="18"/>
                <w:szCs w:val="18"/>
              </w:rPr>
            </w:pPr>
            <w:r w:rsidRPr="000D0F33">
              <w:rPr>
                <w:b/>
                <w:sz w:val="18"/>
                <w:szCs w:val="18"/>
              </w:rPr>
              <w:t>Pricing Analysis and Performance</w:t>
            </w:r>
          </w:p>
          <w:p w14:paraId="57F8F607" w14:textId="77777777" w:rsidR="002B0BC5" w:rsidRPr="000D0F33" w:rsidRDefault="002B0BC5" w:rsidP="004B04A6">
            <w:pPr>
              <w:spacing w:after="200" w:line="276" w:lineRule="auto"/>
              <w:ind w:left="720"/>
              <w:rPr>
                <w:b/>
                <w:sz w:val="18"/>
                <w:szCs w:val="18"/>
              </w:rPr>
            </w:pPr>
            <w:r w:rsidRPr="000D0F33">
              <w:rPr>
                <w:sz w:val="18"/>
                <w:szCs w:val="18"/>
                <w:u w:val="single"/>
              </w:rPr>
              <w:t>Conventional Displayed Trading Venues:</w:t>
            </w:r>
            <w:r w:rsidRPr="000D0F33">
              <w:rPr>
                <w:sz w:val="18"/>
                <w:szCs w:val="18"/>
              </w:rPr>
              <w:t xml:space="preserve"> </w:t>
            </w:r>
            <w:r w:rsidRPr="000D0F33">
              <w:rPr>
                <w:b/>
                <w:sz w:val="18"/>
                <w:szCs w:val="18"/>
              </w:rPr>
              <w:t xml:space="preserve">  </w:t>
            </w:r>
          </w:p>
          <w:p w14:paraId="05034B21" w14:textId="12C91D93" w:rsidR="002B0BC5" w:rsidRPr="000D0F33" w:rsidRDefault="002B0BC5" w:rsidP="004B04A6">
            <w:pPr>
              <w:spacing w:after="200" w:line="276" w:lineRule="auto"/>
              <w:ind w:left="720"/>
              <w:rPr>
                <w:sz w:val="18"/>
                <w:szCs w:val="18"/>
              </w:rPr>
            </w:pPr>
            <w:r w:rsidRPr="000D0F33">
              <w:rPr>
                <w:sz w:val="18"/>
                <w:szCs w:val="18"/>
              </w:rPr>
              <w:t xml:space="preserve">We maintain measures of </w:t>
            </w:r>
            <w:r w:rsidRPr="000D0F33">
              <w:rPr>
                <w:i/>
                <w:sz w:val="18"/>
                <w:szCs w:val="18"/>
              </w:rPr>
              <w:t>price improvement</w:t>
            </w:r>
            <w:r w:rsidRPr="000D0F33">
              <w:rPr>
                <w:sz w:val="18"/>
                <w:szCs w:val="18"/>
              </w:rPr>
              <w:t xml:space="preserve"> that indicate the extent to which a trade performed on a given venue provides a better price than that available on the primary market at the time of trading.  These metrics indicated that material price improvement was obtained as a result of transactions performed on CBOE, Turquoise and Aquis.   The metrics observed over 2019 indicate both that the venues themselves provide price improvement opportunities and that our routing practices are successfully identifying those opportunities.  Average price improvement observed across CBOE, Turquoise and Aquis venues ranged from 0.84 – 1.18 basis points</w:t>
            </w:r>
            <w:r w:rsidR="00EF07DB">
              <w:rPr>
                <w:sz w:val="18"/>
                <w:szCs w:val="18"/>
              </w:rPr>
              <w:t xml:space="preserve"> (BPs)</w:t>
            </w:r>
            <w:r w:rsidRPr="000D0F33">
              <w:rPr>
                <w:sz w:val="18"/>
                <w:szCs w:val="18"/>
              </w:rPr>
              <w:t>.</w:t>
            </w:r>
          </w:p>
          <w:p w14:paraId="6A65E9A2" w14:textId="77777777" w:rsidR="002B0BC5" w:rsidRPr="000D0F33" w:rsidRDefault="002B0BC5" w:rsidP="004B04A6">
            <w:pPr>
              <w:spacing w:after="200" w:line="276" w:lineRule="auto"/>
              <w:ind w:left="720"/>
              <w:rPr>
                <w:b/>
                <w:sz w:val="18"/>
                <w:szCs w:val="18"/>
              </w:rPr>
            </w:pPr>
            <w:r w:rsidRPr="000D0F33">
              <w:rPr>
                <w:sz w:val="18"/>
                <w:szCs w:val="18"/>
                <w:u w:val="single"/>
              </w:rPr>
              <w:t xml:space="preserve">Non Displayed, Periodic Auction and other Execution Venues: </w:t>
            </w:r>
            <w:r w:rsidRPr="000D0F33">
              <w:rPr>
                <w:b/>
                <w:sz w:val="18"/>
                <w:szCs w:val="18"/>
              </w:rPr>
              <w:t xml:space="preserve"> </w:t>
            </w:r>
          </w:p>
          <w:p w14:paraId="62C0D1FA" w14:textId="77777777" w:rsidR="002B0BC5" w:rsidRPr="000D0F33" w:rsidRDefault="002B0BC5" w:rsidP="004B04A6">
            <w:pPr>
              <w:spacing w:after="200" w:line="276" w:lineRule="auto"/>
              <w:ind w:left="720"/>
              <w:rPr>
                <w:b/>
                <w:sz w:val="18"/>
                <w:szCs w:val="18"/>
              </w:rPr>
            </w:pPr>
            <w:r w:rsidRPr="000D0F33">
              <w:rPr>
                <w:sz w:val="18"/>
                <w:szCs w:val="18"/>
                <w:u w:val="single"/>
              </w:rPr>
              <w:t xml:space="preserve">Systematic Internalisers: </w:t>
            </w:r>
            <w:r w:rsidRPr="000D0F33">
              <w:rPr>
                <w:b/>
                <w:sz w:val="18"/>
                <w:szCs w:val="18"/>
              </w:rPr>
              <w:t xml:space="preserve"> </w:t>
            </w:r>
          </w:p>
          <w:p w14:paraId="1A4453C4" w14:textId="77777777" w:rsidR="002B0BC5" w:rsidRPr="000D0F33" w:rsidRDefault="002B0BC5" w:rsidP="004B04A6">
            <w:pPr>
              <w:spacing w:after="200" w:line="276" w:lineRule="auto"/>
              <w:ind w:left="720"/>
              <w:rPr>
                <w:sz w:val="18"/>
                <w:szCs w:val="18"/>
              </w:rPr>
            </w:pPr>
            <w:r w:rsidRPr="000D0F33">
              <w:rPr>
                <w:b/>
                <w:sz w:val="18"/>
                <w:szCs w:val="18"/>
              </w:rPr>
              <w:t>Electronic Liquidity Providers (ELPs):</w:t>
            </w:r>
            <w:r w:rsidRPr="000D0F33">
              <w:rPr>
                <w:sz w:val="18"/>
                <w:szCs w:val="18"/>
              </w:rPr>
              <w:t xml:space="preserve">  In 2019, we observed price improvement  (measured as a percentage of the spread) of 6.5%.  We also observed less adverse movements in the market (market impact) following executions conducted with ELPs.</w:t>
            </w:r>
          </w:p>
          <w:p w14:paraId="4A4E47EA" w14:textId="77777777" w:rsidR="002B0BC5" w:rsidRPr="000D0F33" w:rsidRDefault="002B0BC5" w:rsidP="004B04A6">
            <w:pPr>
              <w:spacing w:after="200" w:line="276" w:lineRule="auto"/>
              <w:ind w:left="720"/>
              <w:rPr>
                <w:b/>
                <w:sz w:val="18"/>
                <w:szCs w:val="18"/>
              </w:rPr>
            </w:pPr>
            <w:r w:rsidRPr="000D0F33">
              <w:rPr>
                <w:sz w:val="18"/>
                <w:szCs w:val="18"/>
              </w:rPr>
              <w:t>J.P. Morgan Venues: Our own Systematic Internaliser was our largest venue of execution by value in 2019.    We observed an average price improvement of 2.6 BPs over the course of 2019.</w:t>
            </w:r>
          </w:p>
          <w:p w14:paraId="3829C150" w14:textId="77777777" w:rsidR="002B0BC5" w:rsidRPr="000D0F33" w:rsidRDefault="002B0BC5" w:rsidP="004B04A6">
            <w:pPr>
              <w:spacing w:after="200" w:line="276" w:lineRule="auto"/>
              <w:ind w:left="360"/>
              <w:rPr>
                <w:sz w:val="18"/>
                <w:szCs w:val="18"/>
              </w:rPr>
            </w:pPr>
            <w:r w:rsidRPr="000D0F33">
              <w:rPr>
                <w:b/>
                <w:sz w:val="18"/>
                <w:szCs w:val="18"/>
              </w:rPr>
              <w:t xml:space="preserve">Latency and Fill Rates  </w:t>
            </w:r>
            <w:r w:rsidRPr="000D0F33">
              <w:rPr>
                <w:sz w:val="18"/>
                <w:szCs w:val="18"/>
              </w:rPr>
              <w:t>(</w:t>
            </w:r>
            <w:r w:rsidRPr="000D0F33">
              <w:rPr>
                <w:sz w:val="18"/>
                <w:szCs w:val="18"/>
                <w:u w:val="single"/>
              </w:rPr>
              <w:t>Applicable to Conventional Displayed Trading Venues Only)</w:t>
            </w:r>
            <w:r w:rsidRPr="000D0F33">
              <w:rPr>
                <w:b/>
                <w:sz w:val="18"/>
                <w:szCs w:val="18"/>
              </w:rPr>
              <w:t xml:space="preserve"> | </w:t>
            </w:r>
            <w:r w:rsidRPr="000D0F33">
              <w:rPr>
                <w:sz w:val="18"/>
                <w:szCs w:val="18"/>
              </w:rPr>
              <w:t>This relates to the ability of our systems to reliably access displayed liquidity.  This performance factor reflects that of our own systems as well as those of the venue itself and its physical location.</w:t>
            </w:r>
          </w:p>
          <w:p w14:paraId="34E9E3B8" w14:textId="77777777" w:rsidR="002B0BC5" w:rsidRPr="000D0F33" w:rsidRDefault="002B0BC5" w:rsidP="004B04A6">
            <w:pPr>
              <w:spacing w:after="200" w:line="276" w:lineRule="auto"/>
              <w:ind w:left="720"/>
              <w:rPr>
                <w:sz w:val="18"/>
                <w:szCs w:val="18"/>
              </w:rPr>
            </w:pPr>
            <w:r w:rsidRPr="000D0F33">
              <w:rPr>
                <w:b/>
                <w:sz w:val="18"/>
                <w:szCs w:val="18"/>
              </w:rPr>
              <w:lastRenderedPageBreak/>
              <w:t>Market access latencies:</w:t>
            </w:r>
            <w:r w:rsidRPr="000D0F33">
              <w:rPr>
                <w:sz w:val="18"/>
                <w:szCs w:val="18"/>
              </w:rPr>
              <w:t xml:space="preserve"> were largely driven by the location of a trading venue’s datacentre: Based on December 2019 data, U.K.-based displayed venues exhibited median round-trip times ranging from 0.56 – 1.98 milliseconds.  Round-trip times exhibited by venues based in continental datacentres ranged from 10.00 – 25.22 milliseconds.</w:t>
            </w:r>
          </w:p>
          <w:p w14:paraId="0BD1D287" w14:textId="77777777" w:rsidR="002B0BC5" w:rsidRPr="000D0F33" w:rsidRDefault="002B0BC5" w:rsidP="004B04A6">
            <w:pPr>
              <w:spacing w:after="200" w:line="276" w:lineRule="auto"/>
              <w:ind w:left="720"/>
              <w:rPr>
                <w:b/>
                <w:sz w:val="18"/>
                <w:szCs w:val="18"/>
              </w:rPr>
            </w:pPr>
            <w:r w:rsidRPr="000D0F33">
              <w:rPr>
                <w:b/>
                <w:sz w:val="18"/>
                <w:szCs w:val="18"/>
              </w:rPr>
              <w:t xml:space="preserve">Fill rates: </w:t>
            </w:r>
            <w:r w:rsidRPr="000D0F33">
              <w:rPr>
                <w:sz w:val="18"/>
                <w:szCs w:val="18"/>
              </w:rPr>
              <w:t xml:space="preserve">weighted average </w:t>
            </w:r>
            <w:r w:rsidRPr="000D0F33">
              <w:rPr>
                <w:i/>
                <w:sz w:val="18"/>
                <w:szCs w:val="18"/>
              </w:rPr>
              <w:t>fill rates</w:t>
            </w:r>
            <w:r w:rsidRPr="000D0F33">
              <w:rPr>
                <w:sz w:val="18"/>
                <w:szCs w:val="18"/>
                <w:vertAlign w:val="superscript"/>
              </w:rPr>
              <w:footnoteReference w:id="1"/>
            </w:r>
            <w:r w:rsidRPr="000D0F33">
              <w:rPr>
                <w:sz w:val="18"/>
                <w:szCs w:val="18"/>
              </w:rPr>
              <w:t xml:space="preserve"> obtained across lit venues for immediate or cancelled (IOC) orders were 93.1% when sending orders to individual venues and 87.8% when sending orders to multiple venues within a single routing decision.  From these data, we conclude that we are able to reliably capture the liquidity displayed to us by these trading venues.</w:t>
            </w:r>
          </w:p>
          <w:p w14:paraId="0B863FDD" w14:textId="77777777" w:rsidR="002B0BC5" w:rsidRPr="000D0F33" w:rsidRDefault="002B0BC5" w:rsidP="004B04A6">
            <w:pPr>
              <w:contextualSpacing/>
              <w:rPr>
                <w:rFonts w:eastAsia="Calibri" w:cs="Times New Roman"/>
                <w:color w:val="0000FF"/>
                <w:sz w:val="18"/>
                <w:szCs w:val="18"/>
              </w:rPr>
            </w:pPr>
          </w:p>
        </w:tc>
      </w:tr>
    </w:tbl>
    <w:tbl>
      <w:tblPr>
        <w:tblStyle w:val="TableGrid1"/>
        <w:tblW w:w="14400" w:type="dxa"/>
        <w:tblInd w:w="468" w:type="dxa"/>
        <w:tblLook w:val="04A0" w:firstRow="1" w:lastRow="0" w:firstColumn="1" w:lastColumn="0" w:noHBand="0" w:noVBand="1"/>
      </w:tblPr>
      <w:tblGrid>
        <w:gridCol w:w="4410"/>
        <w:gridCol w:w="9990"/>
      </w:tblGrid>
      <w:tr w:rsidR="002B0BC5" w:rsidRPr="000D0F33" w14:paraId="2959EC21" w14:textId="77777777" w:rsidTr="004B04A6">
        <w:tc>
          <w:tcPr>
            <w:tcW w:w="4410" w:type="dxa"/>
            <w:tcBorders>
              <w:left w:val="single" w:sz="12" w:space="0" w:color="auto"/>
            </w:tcBorders>
            <w:shd w:val="clear" w:color="auto" w:fill="D9D9D9"/>
          </w:tcPr>
          <w:p w14:paraId="7520A795" w14:textId="77777777" w:rsidR="002B0BC5" w:rsidRPr="000D0F33" w:rsidRDefault="002B0BC5" w:rsidP="004B04A6">
            <w:pPr>
              <w:rPr>
                <w:rFonts w:asciiTheme="minorHAnsi" w:eastAsia="Calibri" w:hAnsiTheme="minorHAnsi"/>
                <w:sz w:val="18"/>
                <w:szCs w:val="18"/>
              </w:rPr>
            </w:pPr>
            <w:r w:rsidRPr="000D0F33">
              <w:rPr>
                <w:rFonts w:asciiTheme="minorHAnsi" w:eastAsia="Calibri" w:hAnsiTheme="minorHAnsi"/>
                <w:sz w:val="18"/>
                <w:szCs w:val="18"/>
              </w:rPr>
              <w:lastRenderedPageBreak/>
              <w:t>Relative importance given to execution factors &amp; other considerations</w:t>
            </w:r>
          </w:p>
        </w:tc>
        <w:tc>
          <w:tcPr>
            <w:tcW w:w="9990" w:type="dxa"/>
            <w:tcBorders>
              <w:right w:val="single" w:sz="12" w:space="0" w:color="auto"/>
            </w:tcBorders>
          </w:tcPr>
          <w:p w14:paraId="00C9F213" w14:textId="77777777" w:rsidR="002B0BC5" w:rsidRPr="000D0F33" w:rsidRDefault="002B0BC5" w:rsidP="00500AC8">
            <w:pPr>
              <w:pStyle w:val="Heading2"/>
              <w:spacing w:before="0"/>
              <w:outlineLvl w:val="1"/>
              <w:rPr>
                <w:rFonts w:asciiTheme="minorHAnsi" w:hAnsiTheme="minorHAnsi" w:cstheme="minorHAnsi"/>
                <w:color w:val="000000" w:themeColor="text1"/>
                <w:sz w:val="18"/>
                <w:szCs w:val="18"/>
                <w:u w:val="single"/>
              </w:rPr>
            </w:pPr>
            <w:r w:rsidRPr="000D0F33">
              <w:rPr>
                <w:rFonts w:asciiTheme="minorHAnsi" w:hAnsiTheme="minorHAnsi" w:cstheme="minorHAnsi"/>
                <w:color w:val="000000" w:themeColor="text1"/>
                <w:sz w:val="18"/>
                <w:szCs w:val="18"/>
                <w:u w:val="single"/>
              </w:rPr>
              <w:t>Execution factors affecting short term venue selection:</w:t>
            </w:r>
          </w:p>
          <w:p w14:paraId="00B150B6" w14:textId="77777777" w:rsidR="002B0BC5" w:rsidRPr="000D0F33" w:rsidRDefault="002B0BC5" w:rsidP="00500AC8">
            <w:pPr>
              <w:pStyle w:val="23BodyText"/>
              <w:rPr>
                <w:rFonts w:asciiTheme="minorHAnsi" w:hAnsiTheme="minorHAnsi" w:cstheme="minorHAnsi"/>
                <w:color w:val="000000" w:themeColor="text1"/>
                <w:sz w:val="18"/>
                <w:szCs w:val="18"/>
              </w:rPr>
            </w:pPr>
            <w:r w:rsidRPr="000D0F33">
              <w:rPr>
                <w:rFonts w:asciiTheme="minorHAnsi" w:hAnsiTheme="minorHAnsi" w:cstheme="minorHAnsi"/>
                <w:color w:val="000000" w:themeColor="text1"/>
                <w:sz w:val="18"/>
                <w:szCs w:val="18"/>
              </w:rPr>
              <w:t xml:space="preserve">Where we are choosing between multiple </w:t>
            </w:r>
            <w:r w:rsidRPr="000D0F33">
              <w:rPr>
                <w:rFonts w:asciiTheme="minorHAnsi" w:hAnsiTheme="minorHAnsi" w:cstheme="minorHAnsi"/>
                <w:i/>
                <w:color w:val="000000" w:themeColor="text1"/>
                <w:sz w:val="18"/>
                <w:szCs w:val="18"/>
              </w:rPr>
              <w:t>execution venues</w:t>
            </w:r>
            <w:r w:rsidRPr="000D0F33">
              <w:rPr>
                <w:rFonts w:asciiTheme="minorHAnsi" w:hAnsiTheme="minorHAnsi" w:cstheme="minorHAnsi"/>
                <w:color w:val="000000" w:themeColor="text1"/>
                <w:sz w:val="18"/>
                <w:szCs w:val="18"/>
              </w:rPr>
              <w:t xml:space="preserve"> together with our own capacity as a Systematic Internaliser, we will adhere to the following principles according to the type of order that we are trying to execute:</w:t>
            </w:r>
          </w:p>
          <w:p w14:paraId="2D720B9E" w14:textId="77777777" w:rsidR="002B0BC5" w:rsidRPr="000D0F33" w:rsidRDefault="002B0BC5" w:rsidP="002B0BC5">
            <w:pPr>
              <w:pStyle w:val="Bullet1"/>
              <w:numPr>
                <w:ilvl w:val="0"/>
                <w:numId w:val="4"/>
              </w:numPr>
              <w:rPr>
                <w:rFonts w:asciiTheme="minorHAnsi" w:hAnsiTheme="minorHAnsi" w:cstheme="minorHAnsi"/>
                <w:color w:val="000000" w:themeColor="text1"/>
                <w:sz w:val="18"/>
                <w:szCs w:val="18"/>
              </w:rPr>
            </w:pPr>
            <w:r w:rsidRPr="000D0F33">
              <w:rPr>
                <w:rFonts w:asciiTheme="minorHAnsi" w:hAnsiTheme="minorHAnsi" w:cstheme="minorHAnsi"/>
                <w:i/>
                <w:color w:val="000000" w:themeColor="text1"/>
                <w:sz w:val="18"/>
                <w:szCs w:val="18"/>
              </w:rPr>
              <w:t>marketable</w:t>
            </w:r>
            <w:r w:rsidRPr="000D0F33">
              <w:rPr>
                <w:rFonts w:asciiTheme="minorHAnsi" w:hAnsiTheme="minorHAnsi" w:cstheme="minorHAnsi"/>
                <w:color w:val="000000" w:themeColor="text1"/>
                <w:sz w:val="18"/>
                <w:szCs w:val="18"/>
              </w:rPr>
              <w:t xml:space="preserve"> </w:t>
            </w:r>
            <w:r w:rsidRPr="000D0F33">
              <w:rPr>
                <w:rFonts w:asciiTheme="minorHAnsi" w:hAnsiTheme="minorHAnsi" w:cstheme="minorHAnsi"/>
                <w:i/>
                <w:color w:val="000000" w:themeColor="text1"/>
                <w:sz w:val="18"/>
                <w:szCs w:val="18"/>
              </w:rPr>
              <w:t>orders</w:t>
            </w:r>
            <w:r w:rsidRPr="000D0F33">
              <w:rPr>
                <w:rFonts w:asciiTheme="minorHAnsi" w:hAnsiTheme="minorHAnsi" w:cstheme="minorHAnsi"/>
                <w:color w:val="000000" w:themeColor="text1"/>
                <w:sz w:val="18"/>
                <w:szCs w:val="18"/>
              </w:rPr>
              <w:t>: our objective is to achieve the best price</w:t>
            </w:r>
            <w:r w:rsidRPr="000D0F33">
              <w:rPr>
                <w:rStyle w:val="FootnoteReference"/>
                <w:rFonts w:asciiTheme="minorHAnsi" w:hAnsiTheme="minorHAnsi" w:cstheme="minorHAnsi"/>
                <w:color w:val="000000" w:themeColor="text1"/>
                <w:sz w:val="18"/>
                <w:szCs w:val="18"/>
              </w:rPr>
              <w:footnoteReference w:id="2"/>
            </w:r>
            <w:r w:rsidRPr="000D0F33">
              <w:rPr>
                <w:rFonts w:asciiTheme="minorHAnsi" w:hAnsiTheme="minorHAnsi" w:cstheme="minorHAnsi"/>
                <w:color w:val="000000" w:themeColor="text1"/>
                <w:sz w:val="18"/>
                <w:szCs w:val="18"/>
              </w:rPr>
              <w:t xml:space="preserve"> whilst minimizing the chance of adverse price movements around the time of execution and maximizing the speed and likelihood of execution. We may take into account the cost of execution provided that it is not to the detriment of the other factors.</w:t>
            </w:r>
          </w:p>
          <w:p w14:paraId="0B347A67" w14:textId="77777777" w:rsidR="002B0BC5" w:rsidRPr="000D0F33" w:rsidRDefault="002B0BC5" w:rsidP="002B0BC5">
            <w:pPr>
              <w:pStyle w:val="Bullet1"/>
              <w:numPr>
                <w:ilvl w:val="0"/>
                <w:numId w:val="4"/>
              </w:numPr>
              <w:rPr>
                <w:rFonts w:asciiTheme="minorHAnsi" w:hAnsiTheme="minorHAnsi" w:cstheme="minorHAnsi"/>
                <w:color w:val="000000" w:themeColor="text1"/>
                <w:sz w:val="18"/>
                <w:szCs w:val="18"/>
              </w:rPr>
            </w:pPr>
            <w:r w:rsidRPr="000D0F33">
              <w:rPr>
                <w:rFonts w:asciiTheme="minorHAnsi" w:hAnsiTheme="minorHAnsi" w:cstheme="minorHAnsi"/>
                <w:i/>
                <w:color w:val="000000" w:themeColor="text1"/>
                <w:sz w:val="18"/>
                <w:szCs w:val="18"/>
              </w:rPr>
              <w:t>non-marketable orders</w:t>
            </w:r>
            <w:r w:rsidRPr="000D0F33">
              <w:rPr>
                <w:rFonts w:asciiTheme="minorHAnsi" w:hAnsiTheme="minorHAnsi" w:cstheme="minorHAnsi"/>
                <w:color w:val="000000" w:themeColor="text1"/>
                <w:sz w:val="18"/>
                <w:szCs w:val="18"/>
              </w:rPr>
              <w:t xml:space="preserve"> on </w:t>
            </w:r>
            <w:r w:rsidRPr="000D0F33">
              <w:rPr>
                <w:rFonts w:asciiTheme="minorHAnsi" w:hAnsiTheme="minorHAnsi" w:cstheme="minorHAnsi"/>
                <w:i/>
                <w:color w:val="000000" w:themeColor="text1"/>
                <w:sz w:val="18"/>
                <w:szCs w:val="18"/>
              </w:rPr>
              <w:t>displayed execution</w:t>
            </w:r>
            <w:r w:rsidRPr="000D0F33">
              <w:rPr>
                <w:rFonts w:asciiTheme="minorHAnsi" w:hAnsiTheme="minorHAnsi" w:cstheme="minorHAnsi"/>
                <w:color w:val="000000" w:themeColor="text1"/>
                <w:sz w:val="18"/>
                <w:szCs w:val="18"/>
              </w:rPr>
              <w:t xml:space="preserve"> venues: we consider that the price of the execution is set and our choice of venue will be determined by maximizing both the speed and likelihood of execution only.</w:t>
            </w:r>
          </w:p>
          <w:p w14:paraId="774883C4" w14:textId="77777777" w:rsidR="002B0BC5" w:rsidRPr="000D0F33" w:rsidRDefault="002B0BC5" w:rsidP="002B0BC5">
            <w:pPr>
              <w:pStyle w:val="Bullet1"/>
              <w:numPr>
                <w:ilvl w:val="0"/>
                <w:numId w:val="4"/>
              </w:numPr>
              <w:rPr>
                <w:rFonts w:asciiTheme="minorHAnsi" w:hAnsiTheme="minorHAnsi" w:cstheme="minorHAnsi"/>
                <w:color w:val="000000" w:themeColor="text1"/>
                <w:sz w:val="18"/>
                <w:szCs w:val="18"/>
              </w:rPr>
            </w:pPr>
            <w:r w:rsidRPr="000D0F33">
              <w:rPr>
                <w:rFonts w:asciiTheme="minorHAnsi" w:hAnsiTheme="minorHAnsi" w:cstheme="minorHAnsi"/>
                <w:color w:val="000000" w:themeColor="text1"/>
                <w:sz w:val="18"/>
                <w:szCs w:val="18"/>
              </w:rPr>
              <w:t xml:space="preserve">orders across a range of </w:t>
            </w:r>
            <w:r w:rsidRPr="000D0F33">
              <w:rPr>
                <w:rFonts w:asciiTheme="minorHAnsi" w:hAnsiTheme="minorHAnsi" w:cstheme="minorHAnsi"/>
                <w:i/>
                <w:color w:val="000000" w:themeColor="text1"/>
                <w:sz w:val="18"/>
                <w:szCs w:val="18"/>
              </w:rPr>
              <w:t xml:space="preserve">non-displayed, </w:t>
            </w:r>
            <w:r w:rsidRPr="000D0F33">
              <w:rPr>
                <w:rFonts w:asciiTheme="minorHAnsi" w:hAnsiTheme="minorHAnsi" w:cstheme="minorHAnsi"/>
                <w:color w:val="000000" w:themeColor="text1"/>
                <w:sz w:val="18"/>
                <w:szCs w:val="18"/>
              </w:rPr>
              <w:t>or</w:t>
            </w:r>
            <w:r w:rsidRPr="000D0F33">
              <w:rPr>
                <w:rFonts w:asciiTheme="minorHAnsi" w:hAnsiTheme="minorHAnsi" w:cstheme="minorHAnsi"/>
                <w:i/>
                <w:color w:val="000000" w:themeColor="text1"/>
                <w:sz w:val="18"/>
                <w:szCs w:val="18"/>
              </w:rPr>
              <w:t xml:space="preserve"> periodic-auction </w:t>
            </w:r>
            <w:r w:rsidRPr="000D0F33">
              <w:rPr>
                <w:rFonts w:asciiTheme="minorHAnsi" w:hAnsiTheme="minorHAnsi" w:cstheme="minorHAnsi"/>
                <w:color w:val="000000" w:themeColor="text1"/>
                <w:sz w:val="18"/>
                <w:szCs w:val="18"/>
              </w:rPr>
              <w:t xml:space="preserve">venues: our priority will be to maximize the speed and likelihood of execution whilst also minimizing the chance that there are adverse price movements around the time of execution. The goal of minimizing adverse price movements may result in preferencing </w:t>
            </w:r>
            <w:r w:rsidRPr="000D0F33">
              <w:rPr>
                <w:rFonts w:asciiTheme="minorHAnsi" w:hAnsiTheme="minorHAnsi" w:cstheme="minorHAnsi"/>
                <w:i/>
                <w:color w:val="000000" w:themeColor="text1"/>
                <w:sz w:val="18"/>
                <w:szCs w:val="18"/>
              </w:rPr>
              <w:t>internalisation</w:t>
            </w:r>
            <w:r w:rsidRPr="000D0F33">
              <w:rPr>
                <w:rFonts w:asciiTheme="minorHAnsi" w:hAnsiTheme="minorHAnsi" w:cstheme="minorHAnsi"/>
                <w:color w:val="000000" w:themeColor="text1"/>
                <w:sz w:val="18"/>
                <w:szCs w:val="18"/>
              </w:rPr>
              <w:t>.</w:t>
            </w:r>
          </w:p>
          <w:p w14:paraId="33F3DD31" w14:textId="77777777" w:rsidR="002B0BC5" w:rsidRPr="000D0F33" w:rsidRDefault="002B0BC5" w:rsidP="004B04A6">
            <w:pPr>
              <w:jc w:val="both"/>
              <w:rPr>
                <w:rFonts w:asciiTheme="minorHAnsi" w:hAnsiTheme="minorHAnsi" w:cstheme="minorHAnsi"/>
                <w:color w:val="000000" w:themeColor="text1"/>
                <w:sz w:val="18"/>
                <w:szCs w:val="18"/>
              </w:rPr>
            </w:pPr>
            <w:r w:rsidRPr="000D0F33">
              <w:rPr>
                <w:rFonts w:asciiTheme="minorHAnsi" w:hAnsiTheme="minorHAnsi" w:cstheme="minorHAnsi"/>
                <w:color w:val="000000" w:themeColor="text1"/>
                <w:sz w:val="18"/>
                <w:szCs w:val="18"/>
              </w:rPr>
              <w:t xml:space="preserve">Please refer to our </w:t>
            </w:r>
            <w:hyperlink r:id="rId18" w:history="1">
              <w:r w:rsidRPr="000D0F33">
                <w:rPr>
                  <w:rStyle w:val="Hyperlink"/>
                  <w:rFonts w:asciiTheme="minorHAnsi" w:hAnsiTheme="minorHAnsi" w:cstheme="minorHAnsi"/>
                  <w:color w:val="000000" w:themeColor="text1"/>
                  <w:sz w:val="18"/>
                  <w:szCs w:val="18"/>
                </w:rPr>
                <w:t>execution policy</w:t>
              </w:r>
            </w:hyperlink>
            <w:r w:rsidRPr="000D0F33">
              <w:rPr>
                <w:rFonts w:asciiTheme="minorHAnsi" w:hAnsiTheme="minorHAnsi" w:cstheme="minorHAnsi"/>
                <w:color w:val="000000" w:themeColor="text1"/>
                <w:sz w:val="18"/>
                <w:szCs w:val="18"/>
              </w:rPr>
              <w:t xml:space="preserve"> for further information on factors affecting our choice of execution venues.</w:t>
            </w:r>
          </w:p>
          <w:p w14:paraId="2D798116" w14:textId="77777777" w:rsidR="002B0BC5" w:rsidRPr="000D0F33" w:rsidRDefault="002B0BC5" w:rsidP="004B04A6">
            <w:pPr>
              <w:jc w:val="both"/>
              <w:rPr>
                <w:rFonts w:asciiTheme="minorHAnsi" w:eastAsia="LF_Kai" w:hAnsiTheme="minorHAnsi" w:cs="Arial"/>
                <w:color w:val="000000"/>
                <w:sz w:val="18"/>
                <w:szCs w:val="18"/>
                <w:lang w:eastAsia="zh-CN" w:bidi="yi-Hebr"/>
              </w:rPr>
            </w:pPr>
          </w:p>
        </w:tc>
      </w:tr>
      <w:tr w:rsidR="002B0BC5" w:rsidRPr="000D0F33" w14:paraId="6161C478" w14:textId="77777777" w:rsidTr="004B04A6">
        <w:tc>
          <w:tcPr>
            <w:tcW w:w="4410" w:type="dxa"/>
            <w:tcBorders>
              <w:left w:val="single" w:sz="12" w:space="0" w:color="auto"/>
            </w:tcBorders>
            <w:shd w:val="clear" w:color="auto" w:fill="D9D9D9"/>
          </w:tcPr>
          <w:p w14:paraId="79C47E3C" w14:textId="77777777" w:rsidR="002B0BC5" w:rsidRPr="000D0F33" w:rsidRDefault="002B0BC5" w:rsidP="004B04A6">
            <w:pPr>
              <w:rPr>
                <w:rFonts w:asciiTheme="minorHAnsi" w:eastAsia="Calibri" w:hAnsiTheme="minorHAnsi"/>
                <w:sz w:val="18"/>
                <w:szCs w:val="18"/>
              </w:rPr>
            </w:pPr>
            <w:r w:rsidRPr="000D0F33">
              <w:rPr>
                <w:rFonts w:asciiTheme="minorHAnsi" w:eastAsia="Calibri" w:hAnsiTheme="minorHAnsi"/>
                <w:sz w:val="18"/>
                <w:szCs w:val="18"/>
              </w:rPr>
              <w:t>Execution venue close links / conflicts of interest / common ownerships</w:t>
            </w:r>
          </w:p>
        </w:tc>
        <w:tc>
          <w:tcPr>
            <w:tcW w:w="9990" w:type="dxa"/>
            <w:tcBorders>
              <w:right w:val="single" w:sz="12" w:space="0" w:color="auto"/>
            </w:tcBorders>
          </w:tcPr>
          <w:p w14:paraId="022BB23F" w14:textId="60D46621" w:rsidR="002B0BC5" w:rsidRPr="000D0F33" w:rsidRDefault="002B0BC5" w:rsidP="004B04A6">
            <w:pPr>
              <w:rPr>
                <w:rFonts w:asciiTheme="minorHAnsi" w:eastAsia="Calibri" w:hAnsiTheme="minorHAnsi" w:cstheme="minorHAnsi"/>
                <w:sz w:val="18"/>
                <w:szCs w:val="18"/>
              </w:rPr>
            </w:pPr>
            <w:r w:rsidRPr="000D0F33">
              <w:rPr>
                <w:rFonts w:asciiTheme="minorHAnsi" w:hAnsiTheme="minorHAnsi" w:cstheme="minorHAnsi"/>
                <w:sz w:val="18"/>
                <w:szCs w:val="18"/>
              </w:rPr>
              <w:t xml:space="preserve">J.P. Morgan Financial Investments Limited </w:t>
            </w:r>
            <w:r w:rsidRPr="000D0F33">
              <w:rPr>
                <w:rFonts w:asciiTheme="minorHAnsi" w:hAnsiTheme="minorHAnsi" w:cstheme="minorHAnsi"/>
                <w:color w:val="000000" w:themeColor="text1"/>
                <w:sz w:val="18"/>
                <w:szCs w:val="18"/>
              </w:rPr>
              <w:t xml:space="preserve">has a stake (of 2.4%) in Turquoise Global Holdings Limited which owns the trading venue </w:t>
            </w:r>
            <w:r w:rsidRPr="000D0F33">
              <w:rPr>
                <w:rFonts w:asciiTheme="minorHAnsi" w:hAnsiTheme="minorHAnsi" w:cstheme="minorHAnsi"/>
                <w:i/>
                <w:color w:val="000000" w:themeColor="text1"/>
                <w:sz w:val="18"/>
                <w:szCs w:val="18"/>
              </w:rPr>
              <w:t>Turquoise</w:t>
            </w:r>
            <w:r w:rsidRPr="000D0F33">
              <w:rPr>
                <w:rFonts w:asciiTheme="minorHAnsi" w:hAnsiTheme="minorHAnsi" w:cstheme="minorHAnsi"/>
                <w:color w:val="000000" w:themeColor="text1"/>
                <w:sz w:val="18"/>
                <w:szCs w:val="18"/>
              </w:rPr>
              <w:t>.  J.P. Morgan AG is a fully owned subsidiary of JP</w:t>
            </w:r>
            <w:r w:rsidR="00225795">
              <w:rPr>
                <w:rFonts w:asciiTheme="minorHAnsi" w:hAnsiTheme="minorHAnsi" w:cstheme="minorHAnsi"/>
                <w:color w:val="000000" w:themeColor="text1"/>
                <w:sz w:val="18"/>
                <w:szCs w:val="18"/>
              </w:rPr>
              <w:t xml:space="preserve">Morgan Chase &amp; Co. </w:t>
            </w:r>
          </w:p>
        </w:tc>
      </w:tr>
      <w:tr w:rsidR="002B0BC5" w:rsidRPr="000D0F33" w14:paraId="5876DB92" w14:textId="77777777" w:rsidTr="004B04A6">
        <w:tc>
          <w:tcPr>
            <w:tcW w:w="4410" w:type="dxa"/>
            <w:tcBorders>
              <w:left w:val="single" w:sz="12" w:space="0" w:color="auto"/>
            </w:tcBorders>
            <w:shd w:val="clear" w:color="auto" w:fill="D9D9D9"/>
          </w:tcPr>
          <w:p w14:paraId="7EBB2887" w14:textId="77777777" w:rsidR="002B0BC5" w:rsidRPr="000D0F33" w:rsidRDefault="002B0BC5" w:rsidP="004B04A6">
            <w:pPr>
              <w:rPr>
                <w:rFonts w:asciiTheme="minorHAnsi" w:eastAsia="Calibri" w:hAnsiTheme="minorHAnsi"/>
                <w:sz w:val="18"/>
                <w:szCs w:val="18"/>
              </w:rPr>
            </w:pPr>
            <w:r w:rsidRPr="000D0F33">
              <w:rPr>
                <w:rFonts w:asciiTheme="minorHAnsi" w:eastAsia="Calibri" w:hAnsiTheme="minorHAnsi"/>
                <w:sz w:val="18"/>
                <w:szCs w:val="18"/>
              </w:rPr>
              <w:t>Specific execution venue arrangements</w:t>
            </w:r>
          </w:p>
        </w:tc>
        <w:tc>
          <w:tcPr>
            <w:tcW w:w="9990" w:type="dxa"/>
            <w:tcBorders>
              <w:right w:val="single" w:sz="12" w:space="0" w:color="auto"/>
            </w:tcBorders>
          </w:tcPr>
          <w:p w14:paraId="6D0EBA54" w14:textId="77777777" w:rsidR="002B0BC5" w:rsidRPr="000D0F33" w:rsidRDefault="002B0BC5" w:rsidP="004B04A6">
            <w:pPr>
              <w:spacing w:after="120"/>
              <w:rPr>
                <w:rFonts w:asciiTheme="minorHAnsi" w:hAnsiTheme="minorHAnsi" w:cstheme="minorHAnsi"/>
                <w:color w:val="000000" w:themeColor="text1"/>
                <w:sz w:val="18"/>
                <w:szCs w:val="18"/>
              </w:rPr>
            </w:pPr>
            <w:r w:rsidRPr="000D0F33">
              <w:rPr>
                <w:rFonts w:asciiTheme="minorHAnsi" w:hAnsiTheme="minorHAnsi" w:cstheme="minorHAnsi"/>
                <w:color w:val="000000" w:themeColor="text1"/>
                <w:sz w:val="18"/>
                <w:szCs w:val="18"/>
              </w:rPr>
              <w:t>Regarding payments made or received, discounts, rebates or non-monetary benefits received:</w:t>
            </w:r>
          </w:p>
          <w:p w14:paraId="690F08F2" w14:textId="76D77A06" w:rsidR="002B0BC5" w:rsidRPr="000D0F33" w:rsidRDefault="002B0BC5" w:rsidP="004B04A6">
            <w:pPr>
              <w:spacing w:after="120"/>
              <w:rPr>
                <w:rFonts w:asciiTheme="minorHAnsi" w:hAnsiTheme="minorHAnsi" w:cstheme="minorHAnsi"/>
                <w:color w:val="000000" w:themeColor="text1"/>
                <w:sz w:val="18"/>
                <w:szCs w:val="18"/>
              </w:rPr>
            </w:pPr>
            <w:r w:rsidRPr="000D0F33">
              <w:rPr>
                <w:rFonts w:asciiTheme="minorHAnsi" w:hAnsiTheme="minorHAnsi" w:cstheme="minorHAnsi"/>
                <w:color w:val="000000" w:themeColor="text1"/>
                <w:sz w:val="18"/>
                <w:szCs w:val="18"/>
              </w:rPr>
              <w:t>J.P. Morgan</w:t>
            </w:r>
            <w:r w:rsidR="00CA247C">
              <w:rPr>
                <w:rFonts w:asciiTheme="minorHAnsi" w:hAnsiTheme="minorHAnsi" w:cstheme="minorHAnsi"/>
                <w:color w:val="000000" w:themeColor="text1"/>
                <w:sz w:val="18"/>
                <w:szCs w:val="18"/>
              </w:rPr>
              <w:t xml:space="preserve"> AG</w:t>
            </w:r>
            <w:r w:rsidRPr="000D0F33">
              <w:rPr>
                <w:rFonts w:asciiTheme="minorHAnsi" w:hAnsiTheme="minorHAnsi" w:cstheme="minorHAnsi"/>
                <w:color w:val="000000" w:themeColor="text1"/>
                <w:sz w:val="18"/>
                <w:szCs w:val="18"/>
              </w:rPr>
              <w:t xml:space="preserve"> does not have any specific arrangements with any trading venues other than standard publicly available terms.  Where J.P. Morgan</w:t>
            </w:r>
            <w:r w:rsidR="00CA247C">
              <w:rPr>
                <w:rFonts w:asciiTheme="minorHAnsi" w:hAnsiTheme="minorHAnsi" w:cstheme="minorHAnsi"/>
                <w:color w:val="000000" w:themeColor="text1"/>
                <w:sz w:val="18"/>
                <w:szCs w:val="18"/>
              </w:rPr>
              <w:t xml:space="preserve"> AG</w:t>
            </w:r>
            <w:r w:rsidRPr="000D0F33">
              <w:rPr>
                <w:rFonts w:asciiTheme="minorHAnsi" w:hAnsiTheme="minorHAnsi" w:cstheme="minorHAnsi"/>
                <w:color w:val="000000" w:themeColor="text1"/>
                <w:sz w:val="18"/>
                <w:szCs w:val="18"/>
              </w:rPr>
              <w:t xml:space="preserve"> contracts with execution venues, it may negotiate specific commercial terms bilaterally with those venues but those terms will not include being compensated directly or in-directly for business given to those venues.</w:t>
            </w:r>
          </w:p>
          <w:p w14:paraId="00D7236E" w14:textId="77777777" w:rsidR="002B0BC5" w:rsidRPr="000D0F33" w:rsidRDefault="002B0BC5" w:rsidP="004B04A6">
            <w:pPr>
              <w:spacing w:after="120"/>
              <w:rPr>
                <w:rFonts w:asciiTheme="minorHAnsi" w:eastAsia="Calibri" w:hAnsiTheme="minorHAnsi" w:cstheme="minorHAnsi"/>
                <w:color w:val="000000"/>
                <w:sz w:val="18"/>
                <w:szCs w:val="18"/>
              </w:rPr>
            </w:pPr>
          </w:p>
        </w:tc>
      </w:tr>
      <w:tr w:rsidR="002B0BC5" w:rsidRPr="000D0F33" w14:paraId="0E5BA556" w14:textId="77777777" w:rsidTr="004B04A6">
        <w:tc>
          <w:tcPr>
            <w:tcW w:w="4410" w:type="dxa"/>
            <w:shd w:val="clear" w:color="auto" w:fill="D9D9D9" w:themeFill="background1" w:themeFillShade="D9"/>
          </w:tcPr>
          <w:p w14:paraId="62D25B1C" w14:textId="77777777" w:rsidR="002B0BC5" w:rsidRPr="000D0F33" w:rsidRDefault="002B0BC5" w:rsidP="004B04A6">
            <w:pPr>
              <w:rPr>
                <w:rFonts w:asciiTheme="minorHAnsi" w:eastAsia="Calibri" w:hAnsiTheme="minorHAnsi"/>
                <w:sz w:val="18"/>
                <w:szCs w:val="18"/>
              </w:rPr>
            </w:pPr>
            <w:r w:rsidRPr="000D0F33">
              <w:rPr>
                <w:rFonts w:asciiTheme="minorHAnsi" w:eastAsia="Calibri" w:hAnsiTheme="minorHAnsi"/>
                <w:sz w:val="18"/>
                <w:szCs w:val="18"/>
              </w:rPr>
              <w:t>Changes to execution venues</w:t>
            </w:r>
          </w:p>
        </w:tc>
        <w:tc>
          <w:tcPr>
            <w:tcW w:w="9990" w:type="dxa"/>
          </w:tcPr>
          <w:p w14:paraId="3AFE3C21" w14:textId="77777777" w:rsidR="002B0BC5" w:rsidRPr="000D0F33" w:rsidRDefault="002B0BC5" w:rsidP="004B04A6">
            <w:pPr>
              <w:spacing w:after="120"/>
              <w:rPr>
                <w:rFonts w:asciiTheme="minorHAnsi" w:hAnsiTheme="minorHAnsi" w:cstheme="minorHAnsi"/>
                <w:sz w:val="18"/>
                <w:szCs w:val="18"/>
              </w:rPr>
            </w:pPr>
            <w:r w:rsidRPr="000D0F33">
              <w:rPr>
                <w:rFonts w:asciiTheme="minorHAnsi" w:hAnsiTheme="minorHAnsi" w:cstheme="minorHAnsi"/>
                <w:sz w:val="18"/>
                <w:szCs w:val="18"/>
              </w:rPr>
              <w:t xml:space="preserve">In 2019 we added several venues to the list of significant venues cited within our execution policy.  </w:t>
            </w:r>
          </w:p>
          <w:p w14:paraId="46559A99" w14:textId="77777777" w:rsidR="002B0BC5" w:rsidRPr="000D0F33" w:rsidRDefault="002B0BC5" w:rsidP="004B04A6">
            <w:pPr>
              <w:rPr>
                <w:rFonts w:asciiTheme="minorHAnsi" w:hAnsiTheme="minorHAnsi"/>
                <w:sz w:val="18"/>
                <w:szCs w:val="18"/>
              </w:rPr>
            </w:pPr>
          </w:p>
          <w:p w14:paraId="5D18CCE7" w14:textId="77777777" w:rsidR="002B0BC5" w:rsidRPr="000D0F33" w:rsidRDefault="002B0BC5" w:rsidP="004B04A6">
            <w:pPr>
              <w:rPr>
                <w:rFonts w:asciiTheme="minorHAnsi" w:hAnsiTheme="minorHAnsi"/>
                <w:sz w:val="18"/>
                <w:szCs w:val="18"/>
              </w:rPr>
            </w:pPr>
            <w:r w:rsidRPr="000D0F33">
              <w:rPr>
                <w:rFonts w:asciiTheme="minorHAnsi" w:hAnsiTheme="minorHAnsi"/>
                <w:sz w:val="18"/>
                <w:szCs w:val="18"/>
              </w:rPr>
              <w:t>We became a direct member of Euronext Dublin.</w:t>
            </w:r>
          </w:p>
          <w:p w14:paraId="1B799449" w14:textId="77777777" w:rsidR="002B0BC5" w:rsidRPr="000D0F33" w:rsidRDefault="002B0BC5" w:rsidP="004B04A6">
            <w:pPr>
              <w:spacing w:after="120"/>
              <w:rPr>
                <w:rFonts w:asciiTheme="minorHAnsi" w:hAnsiTheme="minorHAnsi" w:cstheme="minorHAnsi"/>
                <w:sz w:val="18"/>
                <w:szCs w:val="18"/>
              </w:rPr>
            </w:pPr>
          </w:p>
          <w:p w14:paraId="223A6A3F" w14:textId="77777777" w:rsidR="002B0BC5" w:rsidRPr="000D0F33" w:rsidRDefault="002B0BC5" w:rsidP="004B04A6">
            <w:pPr>
              <w:spacing w:after="120"/>
              <w:rPr>
                <w:rFonts w:asciiTheme="minorHAnsi" w:hAnsiTheme="minorHAnsi" w:cstheme="minorHAnsi"/>
                <w:sz w:val="18"/>
                <w:szCs w:val="18"/>
              </w:rPr>
            </w:pPr>
            <w:r w:rsidRPr="000D0F33">
              <w:rPr>
                <w:rFonts w:asciiTheme="minorHAnsi" w:hAnsiTheme="minorHAnsi" w:cstheme="minorHAnsi"/>
                <w:sz w:val="18"/>
                <w:szCs w:val="18"/>
              </w:rPr>
              <w:t>The following venues were also  added to further improve access to liquidity:</w:t>
            </w:r>
          </w:p>
          <w:p w14:paraId="360AAF6E" w14:textId="4F5EF926" w:rsidR="002B0BC5" w:rsidRPr="000D0F33" w:rsidRDefault="00F304EA" w:rsidP="002B0BC5">
            <w:pPr>
              <w:pStyle w:val="ListParagraph"/>
              <w:numPr>
                <w:ilvl w:val="0"/>
                <w:numId w:val="4"/>
              </w:numPr>
              <w:spacing w:after="120"/>
              <w:rPr>
                <w:rFonts w:asciiTheme="minorHAnsi" w:hAnsiTheme="minorHAnsi" w:cstheme="minorHAnsi"/>
                <w:sz w:val="18"/>
                <w:szCs w:val="18"/>
              </w:rPr>
            </w:pPr>
            <w:r w:rsidRPr="000D0F33">
              <w:rPr>
                <w:rFonts w:asciiTheme="minorHAnsi" w:hAnsiTheme="minorHAnsi" w:cstheme="minorHAnsi"/>
                <w:sz w:val="18"/>
                <w:szCs w:val="18"/>
              </w:rPr>
              <w:t>J.P.</w:t>
            </w:r>
            <w:r w:rsidR="00225795">
              <w:rPr>
                <w:rFonts w:asciiTheme="minorHAnsi" w:hAnsiTheme="minorHAnsi" w:cstheme="minorHAnsi"/>
                <w:sz w:val="18"/>
                <w:szCs w:val="18"/>
              </w:rPr>
              <w:t xml:space="preserve"> </w:t>
            </w:r>
            <w:r w:rsidRPr="000D0F33">
              <w:rPr>
                <w:rFonts w:asciiTheme="minorHAnsi" w:hAnsiTheme="minorHAnsi" w:cstheme="minorHAnsi"/>
                <w:sz w:val="18"/>
                <w:szCs w:val="18"/>
              </w:rPr>
              <w:t>Morgan Securities plc</w:t>
            </w:r>
            <w:r w:rsidR="002B0BC5" w:rsidRPr="000D0F33">
              <w:rPr>
                <w:rFonts w:asciiTheme="minorHAnsi" w:hAnsiTheme="minorHAnsi" w:cstheme="minorHAnsi"/>
                <w:sz w:val="18"/>
                <w:szCs w:val="18"/>
              </w:rPr>
              <w:t xml:space="preserve"> (addition of </w:t>
            </w:r>
            <w:r w:rsidR="002B0BC5" w:rsidRPr="000D0F33">
              <w:rPr>
                <w:rFonts w:asciiTheme="minorHAnsi" w:hAnsiTheme="minorHAnsi" w:cstheme="minorHAnsi"/>
                <w:i/>
                <w:sz w:val="18"/>
                <w:szCs w:val="18"/>
              </w:rPr>
              <w:t>Centralized Liquidity Access</w:t>
            </w:r>
            <w:r w:rsidR="002B0BC5" w:rsidRPr="000D0F33">
              <w:rPr>
                <w:rFonts w:asciiTheme="minorHAnsi" w:hAnsiTheme="minorHAnsi" w:cstheme="minorHAnsi"/>
                <w:sz w:val="18"/>
                <w:szCs w:val="18"/>
              </w:rPr>
              <w:t xml:space="preserve"> service)</w:t>
            </w:r>
          </w:p>
          <w:p w14:paraId="52F8DFCF" w14:textId="77777777" w:rsidR="002B0BC5" w:rsidRPr="000D0F33" w:rsidRDefault="002B0BC5" w:rsidP="002B0BC5">
            <w:pPr>
              <w:pStyle w:val="ListParagraph"/>
              <w:numPr>
                <w:ilvl w:val="0"/>
                <w:numId w:val="4"/>
              </w:numPr>
              <w:spacing w:after="120"/>
              <w:rPr>
                <w:rFonts w:asciiTheme="minorHAnsi" w:hAnsiTheme="minorHAnsi" w:cstheme="minorHAnsi"/>
                <w:sz w:val="18"/>
                <w:szCs w:val="18"/>
              </w:rPr>
            </w:pPr>
            <w:r w:rsidRPr="000D0F33">
              <w:rPr>
                <w:rFonts w:asciiTheme="minorHAnsi" w:hAnsiTheme="minorHAnsi" w:cstheme="minorHAnsi"/>
                <w:sz w:val="18"/>
                <w:szCs w:val="18"/>
              </w:rPr>
              <w:lastRenderedPageBreak/>
              <w:t>Citadel Securities Europe Limited SI</w:t>
            </w:r>
          </w:p>
          <w:p w14:paraId="30AEE1AA" w14:textId="473414EE" w:rsidR="002B0BC5" w:rsidRPr="000D0F33" w:rsidRDefault="00EF07DB" w:rsidP="002B0BC5">
            <w:pPr>
              <w:pStyle w:val="ListParagraph"/>
              <w:numPr>
                <w:ilvl w:val="0"/>
                <w:numId w:val="4"/>
              </w:numPr>
              <w:spacing w:after="120"/>
              <w:rPr>
                <w:rFonts w:asciiTheme="minorHAnsi" w:hAnsiTheme="minorHAnsi" w:cstheme="minorHAnsi"/>
                <w:sz w:val="18"/>
                <w:szCs w:val="18"/>
              </w:rPr>
            </w:pPr>
            <w:r>
              <w:rPr>
                <w:rFonts w:asciiTheme="minorHAnsi" w:hAnsiTheme="minorHAnsi" w:cstheme="minorHAnsi"/>
                <w:sz w:val="18"/>
                <w:szCs w:val="18"/>
              </w:rPr>
              <w:t>HRTEU Limited</w:t>
            </w:r>
            <w:r w:rsidR="002B0BC5" w:rsidRPr="000D0F33">
              <w:rPr>
                <w:rFonts w:asciiTheme="minorHAnsi" w:hAnsiTheme="minorHAnsi" w:cstheme="minorHAnsi"/>
                <w:sz w:val="18"/>
                <w:szCs w:val="18"/>
              </w:rPr>
              <w:t xml:space="preserve"> SI</w:t>
            </w:r>
          </w:p>
          <w:p w14:paraId="40140BF4" w14:textId="3E1A58C2" w:rsidR="002B0BC5" w:rsidRPr="000D0F33" w:rsidRDefault="002B0BC5" w:rsidP="002B0BC5">
            <w:pPr>
              <w:pStyle w:val="ListParagraph"/>
              <w:numPr>
                <w:ilvl w:val="0"/>
                <w:numId w:val="4"/>
              </w:numPr>
              <w:spacing w:after="120"/>
              <w:rPr>
                <w:rFonts w:asciiTheme="minorHAnsi" w:hAnsiTheme="minorHAnsi" w:cstheme="minorHAnsi"/>
                <w:sz w:val="18"/>
                <w:szCs w:val="18"/>
              </w:rPr>
            </w:pPr>
            <w:r w:rsidRPr="000D0F33">
              <w:rPr>
                <w:rFonts w:asciiTheme="minorHAnsi" w:hAnsiTheme="minorHAnsi" w:cstheme="minorHAnsi"/>
                <w:sz w:val="18"/>
                <w:szCs w:val="18"/>
              </w:rPr>
              <w:t>IMC Trading B.V. SI (ceased operating</w:t>
            </w:r>
            <w:r w:rsidR="00EF07DB">
              <w:rPr>
                <w:rFonts w:asciiTheme="minorHAnsi" w:hAnsiTheme="minorHAnsi" w:cstheme="minorHAnsi"/>
                <w:sz w:val="18"/>
                <w:szCs w:val="18"/>
              </w:rPr>
              <w:t xml:space="preserve"> since November 2019</w:t>
            </w:r>
            <w:r w:rsidRPr="000D0F33">
              <w:rPr>
                <w:rFonts w:asciiTheme="minorHAnsi" w:hAnsiTheme="minorHAnsi" w:cstheme="minorHAnsi"/>
                <w:sz w:val="18"/>
                <w:szCs w:val="18"/>
              </w:rPr>
              <w:t>)</w:t>
            </w:r>
          </w:p>
          <w:p w14:paraId="5C1B5745" w14:textId="77777777" w:rsidR="002B0BC5" w:rsidRPr="000D0F33" w:rsidRDefault="002B0BC5" w:rsidP="002B0BC5">
            <w:pPr>
              <w:pStyle w:val="ListParagraph"/>
              <w:numPr>
                <w:ilvl w:val="0"/>
                <w:numId w:val="4"/>
              </w:numPr>
              <w:spacing w:after="120"/>
              <w:rPr>
                <w:rFonts w:asciiTheme="minorHAnsi" w:eastAsia="Calibri" w:hAnsiTheme="minorHAnsi" w:cstheme="minorHAnsi"/>
                <w:sz w:val="18"/>
                <w:szCs w:val="18"/>
              </w:rPr>
            </w:pPr>
            <w:r w:rsidRPr="000D0F33">
              <w:rPr>
                <w:rFonts w:asciiTheme="minorHAnsi" w:hAnsiTheme="minorHAnsi" w:cstheme="minorHAnsi"/>
                <w:sz w:val="18"/>
                <w:szCs w:val="18"/>
              </w:rPr>
              <w:t>XTX Markets Limited SI</w:t>
            </w:r>
          </w:p>
          <w:p w14:paraId="1FEFE4C9" w14:textId="77777777" w:rsidR="002B0BC5" w:rsidRPr="000D0F33" w:rsidRDefault="002B0BC5" w:rsidP="002B0BC5">
            <w:pPr>
              <w:pStyle w:val="ListParagraph"/>
              <w:numPr>
                <w:ilvl w:val="0"/>
                <w:numId w:val="4"/>
              </w:numPr>
              <w:spacing w:after="120"/>
              <w:rPr>
                <w:rFonts w:asciiTheme="minorHAnsi" w:eastAsia="Calibri" w:hAnsiTheme="minorHAnsi" w:cstheme="minorHAnsi"/>
                <w:sz w:val="18"/>
                <w:szCs w:val="18"/>
              </w:rPr>
            </w:pPr>
            <w:r w:rsidRPr="000D0F33">
              <w:rPr>
                <w:rFonts w:asciiTheme="minorHAnsi" w:hAnsiTheme="minorHAnsi" w:cstheme="minorHAnsi"/>
                <w:sz w:val="18"/>
                <w:szCs w:val="18"/>
              </w:rPr>
              <w:t>Turquoise Plato Lit Auction</w:t>
            </w:r>
          </w:p>
          <w:p w14:paraId="5128AA04" w14:textId="77777777" w:rsidR="002B0BC5" w:rsidRPr="000D0F33" w:rsidRDefault="002B0BC5" w:rsidP="002B0BC5">
            <w:pPr>
              <w:pStyle w:val="ListParagraph"/>
              <w:numPr>
                <w:ilvl w:val="0"/>
                <w:numId w:val="4"/>
              </w:numPr>
              <w:spacing w:after="120"/>
              <w:rPr>
                <w:rFonts w:asciiTheme="minorHAnsi" w:eastAsia="Calibri" w:hAnsiTheme="minorHAnsi" w:cstheme="minorHAnsi"/>
                <w:sz w:val="18"/>
                <w:szCs w:val="18"/>
              </w:rPr>
            </w:pPr>
            <w:r w:rsidRPr="000D0F33">
              <w:rPr>
                <w:rFonts w:asciiTheme="minorHAnsi" w:hAnsiTheme="minorHAnsi" w:cstheme="minorHAnsi"/>
                <w:sz w:val="18"/>
                <w:szCs w:val="18"/>
              </w:rPr>
              <w:t xml:space="preserve">NASDAQ OMX Nordics  (addition of </w:t>
            </w:r>
            <w:r w:rsidRPr="000D0F33">
              <w:rPr>
                <w:rFonts w:asciiTheme="minorHAnsi" w:hAnsiTheme="minorHAnsi" w:cstheme="minorHAnsi"/>
                <w:i/>
                <w:sz w:val="18"/>
                <w:szCs w:val="18"/>
              </w:rPr>
              <w:t>Auction On Demand</w:t>
            </w:r>
            <w:r w:rsidRPr="000D0F33">
              <w:rPr>
                <w:rFonts w:asciiTheme="minorHAnsi" w:hAnsiTheme="minorHAnsi" w:cstheme="minorHAnsi"/>
                <w:sz w:val="18"/>
                <w:szCs w:val="18"/>
              </w:rPr>
              <w:t>)</w:t>
            </w:r>
          </w:p>
          <w:p w14:paraId="200F41BC" w14:textId="6BBE5848" w:rsidR="002B0BC5" w:rsidRPr="000D0F33" w:rsidRDefault="002B0BC5" w:rsidP="004B04A6">
            <w:pPr>
              <w:spacing w:after="120"/>
              <w:rPr>
                <w:rFonts w:asciiTheme="minorHAnsi" w:eastAsia="Calibri" w:hAnsiTheme="minorHAnsi" w:cstheme="minorHAnsi"/>
                <w:color w:val="000000"/>
                <w:sz w:val="18"/>
                <w:szCs w:val="18"/>
              </w:rPr>
            </w:pPr>
            <w:r w:rsidRPr="000D0F33">
              <w:rPr>
                <w:rFonts w:asciiTheme="minorHAnsi" w:eastAsia="Calibri" w:hAnsiTheme="minorHAnsi" w:cstheme="minorHAnsi"/>
                <w:color w:val="000000"/>
                <w:sz w:val="18"/>
                <w:szCs w:val="18"/>
              </w:rPr>
              <w:t>We also added access to the EEA operations of some relevant existing venues in preparation for the departure of the United Kingdom from the European Union</w:t>
            </w:r>
            <w:r w:rsidR="00EF07DB">
              <w:rPr>
                <w:rFonts w:asciiTheme="minorHAnsi" w:eastAsia="Calibri" w:hAnsiTheme="minorHAnsi" w:cstheme="minorHAnsi"/>
                <w:color w:val="000000"/>
                <w:sz w:val="18"/>
                <w:szCs w:val="18"/>
              </w:rPr>
              <w:t xml:space="preserve"> (Brexit)</w:t>
            </w:r>
            <w:r w:rsidRPr="000D0F33">
              <w:rPr>
                <w:rFonts w:asciiTheme="minorHAnsi" w:eastAsia="Calibri" w:hAnsiTheme="minorHAnsi" w:cstheme="minorHAnsi"/>
                <w:color w:val="000000"/>
                <w:sz w:val="18"/>
                <w:szCs w:val="18"/>
              </w:rPr>
              <w:t>.  As part of these Brexit preparations, we added access to the following venues:</w:t>
            </w:r>
          </w:p>
          <w:p w14:paraId="04597A74" w14:textId="77777777" w:rsidR="002B0BC5" w:rsidRPr="000D0F33" w:rsidRDefault="002B0BC5" w:rsidP="002B0BC5">
            <w:pPr>
              <w:pStyle w:val="ListParagraph"/>
              <w:numPr>
                <w:ilvl w:val="0"/>
                <w:numId w:val="4"/>
              </w:numPr>
              <w:spacing w:after="120"/>
              <w:rPr>
                <w:rFonts w:asciiTheme="minorHAnsi" w:hAnsiTheme="minorHAnsi" w:cstheme="minorHAnsi"/>
                <w:sz w:val="18"/>
                <w:szCs w:val="18"/>
              </w:rPr>
            </w:pPr>
            <w:r w:rsidRPr="000D0F33">
              <w:rPr>
                <w:rFonts w:asciiTheme="minorHAnsi" w:hAnsiTheme="minorHAnsi" w:cstheme="minorHAnsi"/>
                <w:sz w:val="18"/>
                <w:szCs w:val="18"/>
              </w:rPr>
              <w:t>Cboe DXE Lit</w:t>
            </w:r>
          </w:p>
          <w:p w14:paraId="77BB6D9C" w14:textId="77777777" w:rsidR="002B0BC5" w:rsidRPr="000D0F33" w:rsidRDefault="002B0BC5" w:rsidP="002B0BC5">
            <w:pPr>
              <w:pStyle w:val="ListParagraph"/>
              <w:numPr>
                <w:ilvl w:val="0"/>
                <w:numId w:val="4"/>
              </w:numPr>
              <w:spacing w:after="120"/>
              <w:rPr>
                <w:rFonts w:asciiTheme="minorHAnsi" w:hAnsiTheme="minorHAnsi" w:cstheme="minorHAnsi"/>
                <w:sz w:val="18"/>
                <w:szCs w:val="18"/>
              </w:rPr>
            </w:pPr>
            <w:r w:rsidRPr="000D0F33">
              <w:rPr>
                <w:rFonts w:asciiTheme="minorHAnsi" w:hAnsiTheme="minorHAnsi" w:cstheme="minorHAnsi"/>
                <w:sz w:val="18"/>
                <w:szCs w:val="18"/>
              </w:rPr>
              <w:t>Cboe DXE Dark</w:t>
            </w:r>
          </w:p>
          <w:p w14:paraId="6C68DFB9" w14:textId="77777777" w:rsidR="002B0BC5" w:rsidRPr="000D0F33" w:rsidRDefault="002B0BC5" w:rsidP="004B04A6">
            <w:pPr>
              <w:pStyle w:val="ListParagraph"/>
              <w:spacing w:after="120"/>
              <w:rPr>
                <w:rFonts w:asciiTheme="minorHAnsi" w:eastAsia="Calibri" w:hAnsiTheme="minorHAnsi" w:cstheme="minorHAnsi"/>
                <w:color w:val="000000"/>
                <w:sz w:val="18"/>
                <w:szCs w:val="18"/>
              </w:rPr>
            </w:pPr>
            <w:r w:rsidRPr="000D0F33">
              <w:rPr>
                <w:rFonts w:asciiTheme="minorHAnsi" w:hAnsiTheme="minorHAnsi" w:cstheme="minorHAnsi"/>
                <w:sz w:val="18"/>
                <w:szCs w:val="18"/>
              </w:rPr>
              <w:t>Cboe DXE Periodic Auctions</w:t>
            </w:r>
          </w:p>
        </w:tc>
      </w:tr>
      <w:tr w:rsidR="002B0BC5" w:rsidRPr="000D0F33" w14:paraId="762ADD3D" w14:textId="77777777" w:rsidTr="004B04A6">
        <w:tc>
          <w:tcPr>
            <w:tcW w:w="4410" w:type="dxa"/>
            <w:shd w:val="clear" w:color="auto" w:fill="D9D9D9" w:themeFill="background1" w:themeFillShade="D9"/>
          </w:tcPr>
          <w:p w14:paraId="6CE281B9" w14:textId="77777777" w:rsidR="002B0BC5" w:rsidRPr="000D0F33" w:rsidRDefault="002B0BC5" w:rsidP="004B04A6">
            <w:pPr>
              <w:rPr>
                <w:rFonts w:asciiTheme="minorHAnsi" w:eastAsia="Calibri" w:hAnsiTheme="minorHAnsi"/>
                <w:sz w:val="18"/>
                <w:szCs w:val="18"/>
              </w:rPr>
            </w:pPr>
            <w:r w:rsidRPr="000D0F33">
              <w:rPr>
                <w:rFonts w:asciiTheme="minorHAnsi" w:eastAsia="Calibri" w:hAnsiTheme="minorHAnsi"/>
                <w:sz w:val="18"/>
                <w:szCs w:val="18"/>
              </w:rPr>
              <w:lastRenderedPageBreak/>
              <w:t>Client distinctions</w:t>
            </w:r>
          </w:p>
        </w:tc>
        <w:tc>
          <w:tcPr>
            <w:tcW w:w="9990" w:type="dxa"/>
          </w:tcPr>
          <w:p w14:paraId="489779DD" w14:textId="77777777" w:rsidR="002B0BC5" w:rsidRPr="000D0F33" w:rsidRDefault="002B0BC5" w:rsidP="004B04A6">
            <w:pPr>
              <w:spacing w:after="120"/>
              <w:rPr>
                <w:rFonts w:asciiTheme="minorHAnsi" w:eastAsia="Calibri" w:hAnsiTheme="minorHAnsi"/>
                <w:sz w:val="18"/>
                <w:szCs w:val="18"/>
              </w:rPr>
            </w:pPr>
            <w:r w:rsidRPr="000D0F33">
              <w:rPr>
                <w:rFonts w:asciiTheme="minorHAnsi" w:hAnsiTheme="minorHAnsi"/>
                <w:sz w:val="18"/>
                <w:szCs w:val="18"/>
              </w:rPr>
              <w:t>We do not operate differing execution arrangements by client categorisation.</w:t>
            </w:r>
          </w:p>
        </w:tc>
      </w:tr>
      <w:tr w:rsidR="002B0BC5" w:rsidRPr="000D0F33" w14:paraId="72223F60" w14:textId="77777777" w:rsidTr="004B04A6">
        <w:tc>
          <w:tcPr>
            <w:tcW w:w="4410" w:type="dxa"/>
            <w:shd w:val="clear" w:color="auto" w:fill="D9D9D9" w:themeFill="background1" w:themeFillShade="D9"/>
          </w:tcPr>
          <w:p w14:paraId="657651B6" w14:textId="77777777" w:rsidR="002B0BC5" w:rsidRPr="000D0F33" w:rsidRDefault="002B0BC5" w:rsidP="004B04A6">
            <w:pPr>
              <w:rPr>
                <w:rFonts w:asciiTheme="minorHAnsi" w:eastAsia="Calibri" w:hAnsiTheme="minorHAnsi"/>
                <w:sz w:val="18"/>
                <w:szCs w:val="18"/>
              </w:rPr>
            </w:pPr>
            <w:r w:rsidRPr="000D0F33">
              <w:rPr>
                <w:rFonts w:asciiTheme="minorHAnsi" w:eastAsia="Calibri" w:hAnsiTheme="minorHAnsi"/>
                <w:sz w:val="18"/>
                <w:szCs w:val="18"/>
              </w:rPr>
              <w:t>Use of data/tools relating to the quality of execution</w:t>
            </w:r>
          </w:p>
          <w:p w14:paraId="0729AA55" w14:textId="77777777" w:rsidR="002B0BC5" w:rsidRPr="000D0F33" w:rsidRDefault="002B0BC5" w:rsidP="004B04A6">
            <w:pPr>
              <w:rPr>
                <w:rFonts w:asciiTheme="minorHAnsi" w:eastAsia="Calibri" w:hAnsiTheme="minorHAnsi"/>
                <w:sz w:val="18"/>
                <w:szCs w:val="18"/>
              </w:rPr>
            </w:pPr>
          </w:p>
        </w:tc>
        <w:tc>
          <w:tcPr>
            <w:tcW w:w="9990" w:type="dxa"/>
          </w:tcPr>
          <w:p w14:paraId="647831FA" w14:textId="77777777" w:rsidR="002B0BC5" w:rsidRPr="000D0F33" w:rsidRDefault="002B0BC5" w:rsidP="004B04A6">
            <w:pPr>
              <w:spacing w:after="120"/>
              <w:rPr>
                <w:rFonts w:asciiTheme="minorHAnsi" w:eastAsia="Calibri" w:hAnsiTheme="minorHAnsi"/>
                <w:sz w:val="18"/>
                <w:szCs w:val="18"/>
              </w:rPr>
            </w:pPr>
            <w:r w:rsidRPr="000D0F33">
              <w:rPr>
                <w:rFonts w:asciiTheme="minorHAnsi" w:eastAsia="Calibri" w:hAnsiTheme="minorHAnsi"/>
                <w:sz w:val="18"/>
                <w:szCs w:val="18"/>
              </w:rPr>
              <w:t>We have used group-level transaction cost analysis technology in our analysis.</w:t>
            </w:r>
          </w:p>
        </w:tc>
      </w:tr>
      <w:tr w:rsidR="002B0BC5" w:rsidRPr="000D0F33" w14:paraId="6273D325" w14:textId="77777777" w:rsidTr="004B04A6">
        <w:tc>
          <w:tcPr>
            <w:tcW w:w="4410" w:type="dxa"/>
            <w:shd w:val="clear" w:color="auto" w:fill="D9D9D9" w:themeFill="background1" w:themeFillShade="D9"/>
          </w:tcPr>
          <w:p w14:paraId="26E633DF" w14:textId="77777777" w:rsidR="002B0BC5" w:rsidRPr="000D0F33" w:rsidRDefault="002B0BC5" w:rsidP="004B04A6">
            <w:pPr>
              <w:rPr>
                <w:rFonts w:asciiTheme="minorHAnsi" w:eastAsia="Calibri" w:hAnsiTheme="minorHAnsi"/>
                <w:sz w:val="18"/>
                <w:szCs w:val="18"/>
              </w:rPr>
            </w:pPr>
            <w:r w:rsidRPr="000D0F33">
              <w:rPr>
                <w:rFonts w:asciiTheme="minorHAnsi" w:eastAsia="Calibri" w:hAnsiTheme="minorHAnsi"/>
                <w:sz w:val="18"/>
                <w:szCs w:val="18"/>
              </w:rPr>
              <w:t>Use of consolidated tape provider output or other algorithms to assess execution performances</w:t>
            </w:r>
          </w:p>
        </w:tc>
        <w:tc>
          <w:tcPr>
            <w:tcW w:w="9990" w:type="dxa"/>
          </w:tcPr>
          <w:p w14:paraId="6860BE5D" w14:textId="77777777" w:rsidR="002B0BC5" w:rsidRPr="000D0F33" w:rsidRDefault="002B0BC5" w:rsidP="004B04A6">
            <w:pPr>
              <w:spacing w:after="120"/>
              <w:rPr>
                <w:rFonts w:asciiTheme="minorHAnsi" w:eastAsia="Calibri" w:hAnsiTheme="minorHAnsi"/>
                <w:sz w:val="18"/>
                <w:szCs w:val="18"/>
              </w:rPr>
            </w:pPr>
            <w:r w:rsidRPr="000D0F33">
              <w:rPr>
                <w:rFonts w:asciiTheme="minorHAnsi" w:eastAsia="Calibri" w:hAnsiTheme="minorHAnsi"/>
                <w:sz w:val="18"/>
                <w:szCs w:val="18"/>
              </w:rPr>
              <w:t>Not Applicable</w:t>
            </w:r>
          </w:p>
        </w:tc>
      </w:tr>
    </w:tbl>
    <w:p w14:paraId="63A22021" w14:textId="77777777" w:rsidR="003C48D4" w:rsidRPr="000D0F33" w:rsidRDefault="003C48D4" w:rsidP="007A6941">
      <w:pPr>
        <w:rPr>
          <w:color w:val="FF0000"/>
          <w:sz w:val="18"/>
          <w:szCs w:val="18"/>
        </w:rPr>
      </w:pPr>
    </w:p>
    <w:sectPr w:rsidR="003C48D4" w:rsidRPr="000D0F33" w:rsidSect="00791919">
      <w:footerReference w:type="default" r:id="rId19"/>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A8A4F4" w14:textId="77777777" w:rsidR="00433831" w:rsidRDefault="00433831" w:rsidP="00791919">
      <w:pPr>
        <w:spacing w:after="0" w:line="240" w:lineRule="auto"/>
      </w:pPr>
      <w:r>
        <w:separator/>
      </w:r>
    </w:p>
  </w:endnote>
  <w:endnote w:type="continuationSeparator" w:id="0">
    <w:p w14:paraId="5AE6686D" w14:textId="77777777" w:rsidR="00433831" w:rsidRDefault="00433831"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F_Kai">
    <w:altName w:val="Arial Unicode MS"/>
    <w:charset w:val="86"/>
    <w:family w:val="script"/>
    <w:pitch w:val="fixed"/>
    <w:sig w:usb0="00000000" w:usb1="080E0000" w:usb2="00000010" w:usb3="00000000" w:csb0="001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30BEC" w14:textId="6F2A0D3E" w:rsidR="00791919" w:rsidRDefault="005241CA">
    <w:pPr>
      <w:pStyle w:val="Footer"/>
    </w:pPr>
    <w:r w:rsidRPr="00E65556">
      <w:rPr>
        <w:sz w:val="18"/>
        <w:szCs w:val="18"/>
      </w:rPr>
      <w:t xml:space="preserve">J.P. Morgan AG </w:t>
    </w:r>
    <w:r>
      <w:rPr>
        <w:sz w:val="18"/>
        <w:szCs w:val="18"/>
      </w:rPr>
      <w:t>(</w:t>
    </w:r>
    <w:r w:rsidRPr="00E65556">
      <w:rPr>
        <w:sz w:val="18"/>
        <w:szCs w:val="18"/>
      </w:rPr>
      <w:t>549300ZK53CNGEEI6A29</w:t>
    </w:r>
    <w:r>
      <w:rPr>
        <w:sz w:val="18"/>
        <w:szCs w:val="18"/>
      </w:rPr>
      <w:t>)</w:t>
    </w:r>
    <w:r w:rsidRPr="00E65556">
      <w:rPr>
        <w:sz w:val="18"/>
        <w:szCs w:val="18"/>
      </w:rPr>
      <w:t xml:space="preserve"> </w:t>
    </w:r>
    <w:r w:rsidR="00791919">
      <w:rPr>
        <w:noProof/>
        <w:lang w:eastAsia="en-GB"/>
      </w:rPr>
      <mc:AlternateContent>
        <mc:Choice Requires="wps">
          <w:drawing>
            <wp:anchor distT="0" distB="0" distL="114300" distR="114300" simplePos="0" relativeHeight="251659264" behindDoc="0" locked="0" layoutInCell="1" allowOverlap="1" wp14:anchorId="1C1558AF" wp14:editId="79F7EFD6">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3A0B9CC" w14:textId="3B4AEE4C"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C1558AF"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23A0B9CC" w14:textId="3B4AEE4C"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sidR="00791919">
      <w:rPr>
        <w:noProof/>
        <w:color w:val="4F81BD" w:themeColor="accent1"/>
        <w:lang w:eastAsia="en-GB"/>
      </w:rPr>
      <mc:AlternateContent>
        <mc:Choice Requires="wps">
          <w:drawing>
            <wp:anchor distT="91440" distB="91440" distL="114300" distR="114300" simplePos="0" relativeHeight="251660288" behindDoc="1" locked="0" layoutInCell="1" allowOverlap="1" wp14:anchorId="37B8E2C6" wp14:editId="4AE08D7C">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79524BDD"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854712" w14:textId="77777777" w:rsidR="00433831" w:rsidRDefault="00433831" w:rsidP="00791919">
      <w:pPr>
        <w:spacing w:after="0" w:line="240" w:lineRule="auto"/>
      </w:pPr>
      <w:r>
        <w:separator/>
      </w:r>
    </w:p>
  </w:footnote>
  <w:footnote w:type="continuationSeparator" w:id="0">
    <w:p w14:paraId="35F8AB31" w14:textId="77777777" w:rsidR="00433831" w:rsidRDefault="00433831" w:rsidP="00791919">
      <w:pPr>
        <w:spacing w:after="0" w:line="240" w:lineRule="auto"/>
      </w:pPr>
      <w:r>
        <w:continuationSeparator/>
      </w:r>
    </w:p>
  </w:footnote>
  <w:footnote w:id="1">
    <w:p w14:paraId="107818B9" w14:textId="77777777" w:rsidR="002B0BC5" w:rsidRPr="00AB2361" w:rsidRDefault="002B0BC5" w:rsidP="002B0BC5">
      <w:pPr>
        <w:pStyle w:val="FootnoteText"/>
        <w:rPr>
          <w:sz w:val="16"/>
          <w:szCs w:val="16"/>
        </w:rPr>
      </w:pPr>
      <w:r>
        <w:rPr>
          <w:rStyle w:val="FootnoteReference"/>
        </w:rPr>
        <w:footnoteRef/>
      </w:r>
      <w:r>
        <w:t xml:space="preserve"> </w:t>
      </w:r>
      <w:r w:rsidRPr="00AB2361">
        <w:rPr>
          <w:sz w:val="16"/>
          <w:szCs w:val="16"/>
        </w:rPr>
        <w:t>Measured as the average percentage of liquidity obtained versus that displayed at the time that the routing decision was made.</w:t>
      </w:r>
    </w:p>
  </w:footnote>
  <w:footnote w:id="2">
    <w:p w14:paraId="6A59225C" w14:textId="77777777" w:rsidR="002B0BC5" w:rsidRDefault="002B0BC5" w:rsidP="002B0BC5">
      <w:pPr>
        <w:pStyle w:val="FootnoteText"/>
      </w:pPr>
      <w:r w:rsidRPr="00AB2361">
        <w:rPr>
          <w:rStyle w:val="FootnoteReference"/>
          <w:sz w:val="16"/>
          <w:szCs w:val="16"/>
        </w:rPr>
        <w:footnoteRef/>
      </w:r>
      <w:r w:rsidRPr="00AB2361">
        <w:rPr>
          <w:sz w:val="16"/>
          <w:szCs w:val="16"/>
        </w:rPr>
        <w:t xml:space="preserve"> </w:t>
      </w:r>
      <w:r w:rsidRPr="00AB2361">
        <w:rPr>
          <w:rFonts w:cstheme="minorHAnsi"/>
          <w:sz w:val="16"/>
          <w:szCs w:val="16"/>
        </w:rPr>
        <w:t>We may make an exception to this if we have reason to believe that, in selecting the best price for an individual portion of the order that, course of action may result in a less beneficial price for the whole order.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C3057"/>
    <w:multiLevelType w:val="hybridMultilevel"/>
    <w:tmpl w:val="734CA9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544CA8"/>
    <w:multiLevelType w:val="hybridMultilevel"/>
    <w:tmpl w:val="2822F9AE"/>
    <w:lvl w:ilvl="0" w:tplc="014289D8">
      <w:start w:val="1"/>
      <w:numFmt w:val="bullet"/>
      <w:lvlText w:val="-"/>
      <w:lvlJc w:val="left"/>
      <w:pPr>
        <w:ind w:left="720" w:hanging="360"/>
      </w:pPr>
      <w:rPr>
        <w:rFonts w:ascii="Arial" w:eastAsia="Arial" w:hAnsi="Arial" w:hint="default"/>
        <w:w w:val="99"/>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0731340"/>
    <w:multiLevelType w:val="multilevel"/>
    <w:tmpl w:val="40CC64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B6A2A79"/>
    <w:multiLevelType w:val="multilevel"/>
    <w:tmpl w:val="8D92978A"/>
    <w:name w:val="ltOutline01"/>
    <w:lvl w:ilvl="0">
      <w:start w:val="1"/>
      <w:numFmt w:val="decimal"/>
      <w:pStyle w:val="Heading1"/>
      <w:lvlText w:val="%1."/>
      <w:lvlJc w:val="right"/>
      <w:pPr>
        <w:tabs>
          <w:tab w:val="num" w:pos="0"/>
        </w:tabs>
        <w:ind w:left="0" w:hanging="101"/>
      </w:pPr>
      <w:rPr>
        <w:rFonts w:ascii="Arial" w:hAnsi="Arial" w:cs="Arial"/>
        <w:b/>
        <w:color w:val="000000"/>
        <w:sz w:val="28"/>
      </w:rPr>
    </w:lvl>
    <w:lvl w:ilvl="1">
      <w:start w:val="1"/>
      <w:numFmt w:val="none"/>
      <w:pStyle w:val="Heading2"/>
      <w:suff w:val="nothing"/>
      <w:lvlText w:val=""/>
      <w:lvlJc w:val="left"/>
      <w:pPr>
        <w:ind w:left="0" w:firstLine="0"/>
      </w:pPr>
      <w:rPr>
        <w:rFonts w:ascii="Arial" w:hAnsi="Arial" w:cs="Arial"/>
        <w:b w:val="0"/>
        <w:color w:val="000000"/>
      </w:rPr>
    </w:lvl>
    <w:lvl w:ilvl="2">
      <w:start w:val="1"/>
      <w:numFmt w:val="none"/>
      <w:pStyle w:val="Heading3"/>
      <w:suff w:val="nothing"/>
      <w:lvlText w:val=""/>
      <w:lvlJc w:val="left"/>
      <w:pPr>
        <w:ind w:left="0" w:firstLine="0"/>
      </w:pPr>
      <w:rPr>
        <w:rFonts w:ascii="Arial" w:hAnsi="Arial" w:cs="Arial"/>
        <w:b w:val="0"/>
        <w:color w:val="000000"/>
      </w:rPr>
    </w:lvl>
    <w:lvl w:ilvl="3">
      <w:start w:val="1"/>
      <w:numFmt w:val="none"/>
      <w:pStyle w:val="Heading4"/>
      <w:suff w:val="nothing"/>
      <w:lvlText w:val=""/>
      <w:lvlJc w:val="left"/>
      <w:pPr>
        <w:ind w:left="0" w:firstLine="0"/>
      </w:pPr>
      <w:rPr>
        <w:rFonts w:ascii="Arial" w:hAnsi="Arial" w:cs="Arial"/>
        <w:b w:val="0"/>
        <w:color w:val="000000"/>
      </w:rPr>
    </w:lvl>
    <w:lvl w:ilvl="4">
      <w:start w:val="1"/>
      <w:numFmt w:val="upperLetter"/>
      <w:pStyle w:val="Heading5"/>
      <w:lvlText w:val="%5."/>
      <w:lvlJc w:val="right"/>
      <w:pPr>
        <w:tabs>
          <w:tab w:val="num" w:pos="0"/>
        </w:tabs>
        <w:ind w:left="0" w:hanging="101"/>
      </w:pPr>
      <w:rPr>
        <w:rFonts w:ascii="Arial" w:hAnsi="Arial" w:cs="Arial"/>
        <w:b/>
        <w:color w:val="000000"/>
        <w:sz w:val="28"/>
      </w:rPr>
    </w:lvl>
    <w:lvl w:ilvl="5">
      <w:start w:val="1"/>
      <w:numFmt w:val="none"/>
      <w:pStyle w:val="Heading6"/>
      <w:suff w:val="nothing"/>
      <w:lvlText w:val=""/>
      <w:lvlJc w:val="left"/>
      <w:pPr>
        <w:ind w:left="0" w:firstLine="0"/>
      </w:pPr>
      <w:rPr>
        <w:rFonts w:ascii="Arial" w:hAnsi="Arial" w:cs="Arial"/>
        <w:b w:val="0"/>
        <w:color w:val="000000"/>
      </w:rPr>
    </w:lvl>
    <w:lvl w:ilvl="6">
      <w:start w:val="1"/>
      <w:numFmt w:val="none"/>
      <w:pStyle w:val="Heading7"/>
      <w:suff w:val="nothing"/>
      <w:lvlText w:val=""/>
      <w:lvlJc w:val="left"/>
      <w:pPr>
        <w:ind w:left="0" w:firstLine="0"/>
      </w:pPr>
      <w:rPr>
        <w:rFonts w:ascii="Arial" w:hAnsi="Arial" w:cs="Arial"/>
        <w:b w:val="0"/>
        <w:color w:val="000000"/>
      </w:rPr>
    </w:lvl>
    <w:lvl w:ilvl="7">
      <w:start w:val="1"/>
      <w:numFmt w:val="none"/>
      <w:pStyle w:val="Heading8"/>
      <w:suff w:val="nothing"/>
      <w:lvlText w:val=""/>
      <w:lvlJc w:val="left"/>
      <w:pPr>
        <w:ind w:left="0" w:firstLine="0"/>
      </w:pPr>
      <w:rPr>
        <w:rFonts w:ascii="Arial" w:hAnsi="Arial" w:cs="Arial"/>
        <w:b w:val="0"/>
        <w:color w:val="000000"/>
      </w:rPr>
    </w:lvl>
    <w:lvl w:ilvl="8">
      <w:start w:val="1"/>
      <w:numFmt w:val="none"/>
      <w:lvlText w:val=" "/>
      <w:lvlJc w:val="left"/>
      <w:pPr>
        <w:tabs>
          <w:tab w:val="num" w:pos="0"/>
        </w:tabs>
        <w:ind w:left="0" w:firstLine="0"/>
      </w:pPr>
      <w:rPr>
        <w:rFonts w:ascii="Arial" w:hAnsi="Arial" w:cs="Arial"/>
        <w:b w:val="0"/>
        <w:color w:val="000000"/>
      </w:rPr>
    </w:lvl>
  </w:abstractNum>
  <w:num w:numId="1">
    <w:abstractNumId w:val="0"/>
  </w:num>
  <w:num w:numId="2">
    <w:abstractNumId w:val="2"/>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52E"/>
    <w:rsid w:val="00016F12"/>
    <w:rsid w:val="00024780"/>
    <w:rsid w:val="000254A4"/>
    <w:rsid w:val="000303E1"/>
    <w:rsid w:val="0003509A"/>
    <w:rsid w:val="000469E1"/>
    <w:rsid w:val="00070C4A"/>
    <w:rsid w:val="000B29B9"/>
    <w:rsid w:val="000B419E"/>
    <w:rsid w:val="000C17E3"/>
    <w:rsid w:val="000D0F33"/>
    <w:rsid w:val="000E17D4"/>
    <w:rsid w:val="00101160"/>
    <w:rsid w:val="0012368B"/>
    <w:rsid w:val="00141D70"/>
    <w:rsid w:val="00192129"/>
    <w:rsid w:val="001D0CA7"/>
    <w:rsid w:val="001E0FA6"/>
    <w:rsid w:val="001E1FA8"/>
    <w:rsid w:val="001E4046"/>
    <w:rsid w:val="001F31F6"/>
    <w:rsid w:val="00210DEB"/>
    <w:rsid w:val="0021663E"/>
    <w:rsid w:val="00217666"/>
    <w:rsid w:val="00221856"/>
    <w:rsid w:val="00225795"/>
    <w:rsid w:val="00236BCE"/>
    <w:rsid w:val="00261122"/>
    <w:rsid w:val="00266B66"/>
    <w:rsid w:val="002A632E"/>
    <w:rsid w:val="002B0BC5"/>
    <w:rsid w:val="002B39A0"/>
    <w:rsid w:val="002D07D7"/>
    <w:rsid w:val="002D1780"/>
    <w:rsid w:val="003008C6"/>
    <w:rsid w:val="00307A3E"/>
    <w:rsid w:val="003377A4"/>
    <w:rsid w:val="0035063A"/>
    <w:rsid w:val="003537EB"/>
    <w:rsid w:val="003930C7"/>
    <w:rsid w:val="003951FB"/>
    <w:rsid w:val="003A6015"/>
    <w:rsid w:val="003C48D4"/>
    <w:rsid w:val="00416AFA"/>
    <w:rsid w:val="00425674"/>
    <w:rsid w:val="00433831"/>
    <w:rsid w:val="0047552E"/>
    <w:rsid w:val="00475742"/>
    <w:rsid w:val="004C1AF2"/>
    <w:rsid w:val="004C6AA2"/>
    <w:rsid w:val="00500AC8"/>
    <w:rsid w:val="00503C42"/>
    <w:rsid w:val="005074E2"/>
    <w:rsid w:val="005110F9"/>
    <w:rsid w:val="00520497"/>
    <w:rsid w:val="00520E03"/>
    <w:rsid w:val="00521911"/>
    <w:rsid w:val="005241CA"/>
    <w:rsid w:val="00576636"/>
    <w:rsid w:val="00581F73"/>
    <w:rsid w:val="0058305E"/>
    <w:rsid w:val="005B14E1"/>
    <w:rsid w:val="005B29EE"/>
    <w:rsid w:val="005B7CF7"/>
    <w:rsid w:val="005C53DA"/>
    <w:rsid w:val="00604858"/>
    <w:rsid w:val="00633326"/>
    <w:rsid w:val="00667ED1"/>
    <w:rsid w:val="006734AA"/>
    <w:rsid w:val="006B03A5"/>
    <w:rsid w:val="006B67A6"/>
    <w:rsid w:val="006D5230"/>
    <w:rsid w:val="007152F0"/>
    <w:rsid w:val="00737842"/>
    <w:rsid w:val="00751949"/>
    <w:rsid w:val="00763068"/>
    <w:rsid w:val="007746E1"/>
    <w:rsid w:val="007770DF"/>
    <w:rsid w:val="00785BF6"/>
    <w:rsid w:val="00791919"/>
    <w:rsid w:val="00793B3D"/>
    <w:rsid w:val="007A6941"/>
    <w:rsid w:val="007B228E"/>
    <w:rsid w:val="007C76A9"/>
    <w:rsid w:val="007E11AD"/>
    <w:rsid w:val="007F2C90"/>
    <w:rsid w:val="00800816"/>
    <w:rsid w:val="00804E0D"/>
    <w:rsid w:val="00823A00"/>
    <w:rsid w:val="008475F2"/>
    <w:rsid w:val="00870342"/>
    <w:rsid w:val="00884B6B"/>
    <w:rsid w:val="008A1C89"/>
    <w:rsid w:val="008B146A"/>
    <w:rsid w:val="008C3D9F"/>
    <w:rsid w:val="008E595C"/>
    <w:rsid w:val="00901F44"/>
    <w:rsid w:val="00902C96"/>
    <w:rsid w:val="00912863"/>
    <w:rsid w:val="00915F9B"/>
    <w:rsid w:val="00917912"/>
    <w:rsid w:val="009203A5"/>
    <w:rsid w:val="0095730C"/>
    <w:rsid w:val="00965D08"/>
    <w:rsid w:val="009770AA"/>
    <w:rsid w:val="009802F7"/>
    <w:rsid w:val="009B0A25"/>
    <w:rsid w:val="009F4CF1"/>
    <w:rsid w:val="00A00273"/>
    <w:rsid w:val="00A32451"/>
    <w:rsid w:val="00A76335"/>
    <w:rsid w:val="00A80B4E"/>
    <w:rsid w:val="00A83C8C"/>
    <w:rsid w:val="00A872C5"/>
    <w:rsid w:val="00AA0005"/>
    <w:rsid w:val="00AA0C80"/>
    <w:rsid w:val="00AA5380"/>
    <w:rsid w:val="00AD1EBB"/>
    <w:rsid w:val="00AE1027"/>
    <w:rsid w:val="00AE4966"/>
    <w:rsid w:val="00AF2596"/>
    <w:rsid w:val="00B41BFE"/>
    <w:rsid w:val="00B55C2A"/>
    <w:rsid w:val="00B674C2"/>
    <w:rsid w:val="00B87544"/>
    <w:rsid w:val="00B94F41"/>
    <w:rsid w:val="00BB74D5"/>
    <w:rsid w:val="00C13BEA"/>
    <w:rsid w:val="00C302FD"/>
    <w:rsid w:val="00CA0C7B"/>
    <w:rsid w:val="00CA247C"/>
    <w:rsid w:val="00CC4589"/>
    <w:rsid w:val="00CC5211"/>
    <w:rsid w:val="00CC770A"/>
    <w:rsid w:val="00CF2A60"/>
    <w:rsid w:val="00CF30DA"/>
    <w:rsid w:val="00D0398D"/>
    <w:rsid w:val="00D423DE"/>
    <w:rsid w:val="00D660CF"/>
    <w:rsid w:val="00DB02C7"/>
    <w:rsid w:val="00DF4038"/>
    <w:rsid w:val="00E063FD"/>
    <w:rsid w:val="00E178A3"/>
    <w:rsid w:val="00E65556"/>
    <w:rsid w:val="00E73067"/>
    <w:rsid w:val="00E76FE4"/>
    <w:rsid w:val="00E845ED"/>
    <w:rsid w:val="00EE008A"/>
    <w:rsid w:val="00EE09DB"/>
    <w:rsid w:val="00EF07DB"/>
    <w:rsid w:val="00F010E3"/>
    <w:rsid w:val="00F304EA"/>
    <w:rsid w:val="00F85A46"/>
    <w:rsid w:val="00FC4959"/>
    <w:rsid w:val="00FC574E"/>
    <w:rsid w:val="00FD34E0"/>
    <w:rsid w:val="00FD4180"/>
    <w:rsid w:val="00FE5CAD"/>
    <w:rsid w:val="00FF3F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6977"/>
    <o:shapelayout v:ext="edit">
      <o:idmap v:ext="edit" data="1"/>
    </o:shapelayout>
  </w:shapeDefaults>
  <w:decimalSymbol w:val="."/>
  <w:listSeparator w:val=","/>
  <w14:docId w14:val="4012C536"/>
  <w15:docId w15:val="{290EE0EB-C471-43FE-8E88-22574F73E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Chapter Title"/>
    <w:basedOn w:val="Normal"/>
    <w:next w:val="Heading2"/>
    <w:link w:val="Heading1Char"/>
    <w:qFormat/>
    <w:rsid w:val="000303E1"/>
    <w:pPr>
      <w:keepNext/>
      <w:pageBreakBefore/>
      <w:numPr>
        <w:numId w:val="5"/>
      </w:numPr>
      <w:spacing w:after="160" w:line="264" w:lineRule="auto"/>
      <w:outlineLvl w:val="0"/>
    </w:pPr>
    <w:rPr>
      <w:rFonts w:ascii="Arial" w:eastAsia="LF_Kai" w:hAnsi="Arial" w:cs="Arial"/>
      <w:b/>
      <w:bCs/>
      <w:color w:val="000000"/>
      <w:kern w:val="32"/>
      <w:sz w:val="28"/>
      <w:szCs w:val="32"/>
      <w:lang w:eastAsia="zh-CN" w:bidi="yi-Hebr"/>
    </w:rPr>
  </w:style>
  <w:style w:type="paragraph" w:styleId="Heading2">
    <w:name w:val="heading 2"/>
    <w:basedOn w:val="Normal"/>
    <w:next w:val="23BodyText"/>
    <w:link w:val="Heading2Char"/>
    <w:qFormat/>
    <w:rsid w:val="000303E1"/>
    <w:pPr>
      <w:keepNext/>
      <w:numPr>
        <w:ilvl w:val="1"/>
        <w:numId w:val="5"/>
      </w:numPr>
      <w:spacing w:before="240" w:after="0" w:line="264" w:lineRule="auto"/>
      <w:outlineLvl w:val="1"/>
    </w:pPr>
    <w:rPr>
      <w:rFonts w:ascii="Arial" w:eastAsia="LF_Kai" w:hAnsi="Arial" w:cs="Arial"/>
      <w:b/>
      <w:bCs/>
      <w:iCs/>
      <w:color w:val="000000"/>
      <w:szCs w:val="28"/>
      <w:lang w:eastAsia="zh-CN" w:bidi="yi-Hebr"/>
    </w:rPr>
  </w:style>
  <w:style w:type="paragraph" w:styleId="Heading3">
    <w:name w:val="heading 3"/>
    <w:basedOn w:val="Normal"/>
    <w:next w:val="23BodyText"/>
    <w:link w:val="Heading3Char"/>
    <w:qFormat/>
    <w:rsid w:val="000303E1"/>
    <w:pPr>
      <w:keepNext/>
      <w:numPr>
        <w:ilvl w:val="2"/>
        <w:numId w:val="5"/>
      </w:numPr>
      <w:spacing w:before="160" w:after="0" w:line="264" w:lineRule="auto"/>
      <w:outlineLvl w:val="2"/>
    </w:pPr>
    <w:rPr>
      <w:rFonts w:ascii="Arial" w:eastAsia="LF_Kai" w:hAnsi="Arial" w:cs="Arial"/>
      <w:b/>
      <w:bCs/>
      <w:color w:val="000000"/>
      <w:sz w:val="20"/>
      <w:szCs w:val="26"/>
      <w:lang w:eastAsia="zh-CN" w:bidi="yi-Hebr"/>
    </w:rPr>
  </w:style>
  <w:style w:type="paragraph" w:styleId="Heading4">
    <w:name w:val="heading 4"/>
    <w:basedOn w:val="Normal"/>
    <w:next w:val="23BodyText"/>
    <w:link w:val="Heading4Char"/>
    <w:qFormat/>
    <w:rsid w:val="000303E1"/>
    <w:pPr>
      <w:keepNext/>
      <w:numPr>
        <w:ilvl w:val="3"/>
        <w:numId w:val="5"/>
      </w:numPr>
      <w:spacing w:before="160" w:after="0" w:line="264" w:lineRule="auto"/>
      <w:outlineLvl w:val="3"/>
    </w:pPr>
    <w:rPr>
      <w:rFonts w:ascii="Arial" w:eastAsia="LF_Kai" w:hAnsi="Arial" w:cs="Arial"/>
      <w:bCs/>
      <w:i/>
      <w:color w:val="000000"/>
      <w:sz w:val="20"/>
      <w:szCs w:val="28"/>
      <w:lang w:eastAsia="zh-CN" w:bidi="yi-Hebr"/>
    </w:rPr>
  </w:style>
  <w:style w:type="paragraph" w:styleId="Heading5">
    <w:name w:val="heading 5"/>
    <w:aliases w:val="Appendix Title"/>
    <w:basedOn w:val="Heading1"/>
    <w:next w:val="Heading6"/>
    <w:link w:val="Heading5Char"/>
    <w:qFormat/>
    <w:rsid w:val="000303E1"/>
    <w:pPr>
      <w:numPr>
        <w:ilvl w:val="4"/>
      </w:numPr>
      <w:outlineLvl w:val="4"/>
    </w:pPr>
    <w:rPr>
      <w:bCs w:val="0"/>
      <w:iCs/>
      <w:szCs w:val="26"/>
    </w:rPr>
  </w:style>
  <w:style w:type="paragraph" w:styleId="Heading6">
    <w:name w:val="heading 6"/>
    <w:basedOn w:val="Heading2"/>
    <w:next w:val="23BodyText"/>
    <w:link w:val="Heading6Char"/>
    <w:qFormat/>
    <w:rsid w:val="000303E1"/>
    <w:pPr>
      <w:numPr>
        <w:ilvl w:val="5"/>
      </w:numPr>
      <w:outlineLvl w:val="5"/>
    </w:pPr>
    <w:rPr>
      <w:bCs w:val="0"/>
      <w:szCs w:val="22"/>
    </w:rPr>
  </w:style>
  <w:style w:type="paragraph" w:styleId="Heading7">
    <w:name w:val="heading 7"/>
    <w:basedOn w:val="Heading3"/>
    <w:next w:val="23BodyText"/>
    <w:link w:val="Heading7Char"/>
    <w:qFormat/>
    <w:rsid w:val="000303E1"/>
    <w:pPr>
      <w:numPr>
        <w:ilvl w:val="6"/>
      </w:numPr>
      <w:outlineLvl w:val="6"/>
    </w:pPr>
  </w:style>
  <w:style w:type="paragraph" w:styleId="Heading8">
    <w:name w:val="heading 8"/>
    <w:basedOn w:val="Heading4"/>
    <w:next w:val="23BodyText"/>
    <w:link w:val="Heading8Char"/>
    <w:qFormat/>
    <w:rsid w:val="000303E1"/>
    <w:pPr>
      <w:numPr>
        <w:ilvl w:val="7"/>
      </w:numPr>
      <w:outlineLvl w:val="7"/>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character" w:styleId="CommentReference">
    <w:name w:val="annotation reference"/>
    <w:basedOn w:val="DefaultParagraphFont"/>
    <w:uiPriority w:val="99"/>
    <w:semiHidden/>
    <w:unhideWhenUsed/>
    <w:rsid w:val="006B03A5"/>
    <w:rPr>
      <w:sz w:val="16"/>
      <w:szCs w:val="16"/>
    </w:rPr>
  </w:style>
  <w:style w:type="paragraph" w:styleId="CommentText">
    <w:name w:val="annotation text"/>
    <w:basedOn w:val="Normal"/>
    <w:link w:val="CommentTextChar"/>
    <w:uiPriority w:val="99"/>
    <w:semiHidden/>
    <w:unhideWhenUsed/>
    <w:rsid w:val="006B03A5"/>
    <w:pPr>
      <w:spacing w:line="240" w:lineRule="auto"/>
    </w:pPr>
    <w:rPr>
      <w:sz w:val="20"/>
      <w:szCs w:val="20"/>
    </w:rPr>
  </w:style>
  <w:style w:type="character" w:customStyle="1" w:styleId="CommentTextChar">
    <w:name w:val="Comment Text Char"/>
    <w:basedOn w:val="DefaultParagraphFont"/>
    <w:link w:val="CommentText"/>
    <w:uiPriority w:val="99"/>
    <w:semiHidden/>
    <w:rsid w:val="006B03A5"/>
    <w:rPr>
      <w:sz w:val="20"/>
      <w:szCs w:val="20"/>
    </w:rPr>
  </w:style>
  <w:style w:type="paragraph" w:styleId="CommentSubject">
    <w:name w:val="annotation subject"/>
    <w:basedOn w:val="CommentText"/>
    <w:next w:val="CommentText"/>
    <w:link w:val="CommentSubjectChar"/>
    <w:uiPriority w:val="99"/>
    <w:semiHidden/>
    <w:unhideWhenUsed/>
    <w:rsid w:val="006B03A5"/>
    <w:rPr>
      <w:b/>
      <w:bCs/>
    </w:rPr>
  </w:style>
  <w:style w:type="character" w:customStyle="1" w:styleId="CommentSubjectChar">
    <w:name w:val="Comment Subject Char"/>
    <w:basedOn w:val="CommentTextChar"/>
    <w:link w:val="CommentSubject"/>
    <w:uiPriority w:val="99"/>
    <w:semiHidden/>
    <w:rsid w:val="006B03A5"/>
    <w:rPr>
      <w:b/>
      <w:bCs/>
      <w:sz w:val="20"/>
      <w:szCs w:val="20"/>
    </w:rPr>
  </w:style>
  <w:style w:type="character" w:styleId="Hyperlink">
    <w:name w:val="Hyperlink"/>
    <w:basedOn w:val="DefaultParagraphFont"/>
    <w:uiPriority w:val="99"/>
    <w:unhideWhenUsed/>
    <w:rsid w:val="0003509A"/>
    <w:rPr>
      <w:color w:val="0000FF"/>
      <w:u w:val="single"/>
    </w:rPr>
  </w:style>
  <w:style w:type="paragraph" w:styleId="ListParagraph">
    <w:name w:val="List Paragraph"/>
    <w:basedOn w:val="Normal"/>
    <w:uiPriority w:val="34"/>
    <w:qFormat/>
    <w:rsid w:val="00D423DE"/>
    <w:pPr>
      <w:ind w:left="720"/>
      <w:contextualSpacing/>
    </w:pPr>
  </w:style>
  <w:style w:type="table" w:customStyle="1" w:styleId="TableGrid1">
    <w:name w:val="Table Grid1"/>
    <w:basedOn w:val="TableNormal"/>
    <w:uiPriority w:val="59"/>
    <w:rsid w:val="00520497"/>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F2596"/>
    <w:rPr>
      <w:color w:val="800080" w:themeColor="followedHyperlink"/>
      <w:u w:val="single"/>
    </w:rPr>
  </w:style>
  <w:style w:type="character" w:customStyle="1" w:styleId="Heading1Char">
    <w:name w:val="Heading 1 Char"/>
    <w:aliases w:val="Chapter Title Char"/>
    <w:basedOn w:val="DefaultParagraphFont"/>
    <w:link w:val="Heading1"/>
    <w:rsid w:val="000303E1"/>
    <w:rPr>
      <w:rFonts w:ascii="Arial" w:eastAsia="LF_Kai" w:hAnsi="Arial" w:cs="Arial"/>
      <w:b/>
      <w:bCs/>
      <w:color w:val="000000"/>
      <w:kern w:val="32"/>
      <w:sz w:val="28"/>
      <w:szCs w:val="32"/>
      <w:lang w:eastAsia="zh-CN" w:bidi="yi-Hebr"/>
    </w:rPr>
  </w:style>
  <w:style w:type="character" w:customStyle="1" w:styleId="Heading2Char">
    <w:name w:val="Heading 2 Char"/>
    <w:basedOn w:val="DefaultParagraphFont"/>
    <w:link w:val="Heading2"/>
    <w:rsid w:val="000303E1"/>
    <w:rPr>
      <w:rFonts w:ascii="Arial" w:eastAsia="LF_Kai" w:hAnsi="Arial" w:cs="Arial"/>
      <w:b/>
      <w:bCs/>
      <w:iCs/>
      <w:color w:val="000000"/>
      <w:szCs w:val="28"/>
      <w:lang w:eastAsia="zh-CN" w:bidi="yi-Hebr"/>
    </w:rPr>
  </w:style>
  <w:style w:type="character" w:customStyle="1" w:styleId="Heading3Char">
    <w:name w:val="Heading 3 Char"/>
    <w:basedOn w:val="DefaultParagraphFont"/>
    <w:link w:val="Heading3"/>
    <w:rsid w:val="000303E1"/>
    <w:rPr>
      <w:rFonts w:ascii="Arial" w:eastAsia="LF_Kai" w:hAnsi="Arial" w:cs="Arial"/>
      <w:b/>
      <w:bCs/>
      <w:color w:val="000000"/>
      <w:sz w:val="20"/>
      <w:szCs w:val="26"/>
      <w:lang w:eastAsia="zh-CN" w:bidi="yi-Hebr"/>
    </w:rPr>
  </w:style>
  <w:style w:type="character" w:customStyle="1" w:styleId="Heading4Char">
    <w:name w:val="Heading 4 Char"/>
    <w:basedOn w:val="DefaultParagraphFont"/>
    <w:link w:val="Heading4"/>
    <w:rsid w:val="000303E1"/>
    <w:rPr>
      <w:rFonts w:ascii="Arial" w:eastAsia="LF_Kai" w:hAnsi="Arial" w:cs="Arial"/>
      <w:bCs/>
      <w:i/>
      <w:color w:val="000000"/>
      <w:sz w:val="20"/>
      <w:szCs w:val="28"/>
      <w:lang w:eastAsia="zh-CN" w:bidi="yi-Hebr"/>
    </w:rPr>
  </w:style>
  <w:style w:type="character" w:customStyle="1" w:styleId="Heading5Char">
    <w:name w:val="Heading 5 Char"/>
    <w:aliases w:val="Appendix Title Char"/>
    <w:basedOn w:val="DefaultParagraphFont"/>
    <w:link w:val="Heading5"/>
    <w:rsid w:val="000303E1"/>
    <w:rPr>
      <w:rFonts w:ascii="Arial" w:eastAsia="LF_Kai" w:hAnsi="Arial" w:cs="Arial"/>
      <w:b/>
      <w:iCs/>
      <w:color w:val="000000"/>
      <w:kern w:val="32"/>
      <w:sz w:val="28"/>
      <w:szCs w:val="26"/>
      <w:lang w:eastAsia="zh-CN" w:bidi="yi-Hebr"/>
    </w:rPr>
  </w:style>
  <w:style w:type="character" w:customStyle="1" w:styleId="Heading6Char">
    <w:name w:val="Heading 6 Char"/>
    <w:basedOn w:val="DefaultParagraphFont"/>
    <w:link w:val="Heading6"/>
    <w:rsid w:val="000303E1"/>
    <w:rPr>
      <w:rFonts w:ascii="Arial" w:eastAsia="LF_Kai" w:hAnsi="Arial" w:cs="Arial"/>
      <w:b/>
      <w:iCs/>
      <w:color w:val="000000"/>
      <w:lang w:eastAsia="zh-CN" w:bidi="yi-Hebr"/>
    </w:rPr>
  </w:style>
  <w:style w:type="character" w:customStyle="1" w:styleId="Heading7Char">
    <w:name w:val="Heading 7 Char"/>
    <w:basedOn w:val="DefaultParagraphFont"/>
    <w:link w:val="Heading7"/>
    <w:rsid w:val="000303E1"/>
    <w:rPr>
      <w:rFonts w:ascii="Arial" w:eastAsia="LF_Kai" w:hAnsi="Arial" w:cs="Arial"/>
      <w:b/>
      <w:bCs/>
      <w:color w:val="000000"/>
      <w:sz w:val="20"/>
      <w:szCs w:val="26"/>
      <w:lang w:eastAsia="zh-CN" w:bidi="yi-Hebr"/>
    </w:rPr>
  </w:style>
  <w:style w:type="character" w:customStyle="1" w:styleId="Heading8Char">
    <w:name w:val="Heading 8 Char"/>
    <w:basedOn w:val="DefaultParagraphFont"/>
    <w:link w:val="Heading8"/>
    <w:rsid w:val="000303E1"/>
    <w:rPr>
      <w:rFonts w:ascii="Arial" w:eastAsia="LF_Kai" w:hAnsi="Arial" w:cs="Arial"/>
      <w:bCs/>
      <w:i/>
      <w:iCs/>
      <w:color w:val="000000"/>
      <w:sz w:val="20"/>
      <w:szCs w:val="28"/>
      <w:lang w:eastAsia="zh-CN" w:bidi="yi-Hebr"/>
    </w:rPr>
  </w:style>
  <w:style w:type="paragraph" w:styleId="FootnoteText">
    <w:name w:val="footnote text"/>
    <w:basedOn w:val="Normal"/>
    <w:link w:val="FootnoteTextChar"/>
    <w:semiHidden/>
    <w:unhideWhenUsed/>
    <w:rsid w:val="000303E1"/>
    <w:pPr>
      <w:spacing w:after="0" w:line="240" w:lineRule="auto"/>
    </w:pPr>
    <w:rPr>
      <w:sz w:val="20"/>
      <w:szCs w:val="20"/>
    </w:rPr>
  </w:style>
  <w:style w:type="character" w:customStyle="1" w:styleId="FootnoteTextChar">
    <w:name w:val="Footnote Text Char"/>
    <w:basedOn w:val="DefaultParagraphFont"/>
    <w:link w:val="FootnoteText"/>
    <w:semiHidden/>
    <w:rsid w:val="000303E1"/>
    <w:rPr>
      <w:sz w:val="20"/>
      <w:szCs w:val="20"/>
    </w:rPr>
  </w:style>
  <w:style w:type="character" w:styleId="FootnoteReference">
    <w:name w:val="footnote reference"/>
    <w:basedOn w:val="DefaultParagraphFont"/>
    <w:uiPriority w:val="99"/>
    <w:semiHidden/>
    <w:unhideWhenUsed/>
    <w:rsid w:val="000303E1"/>
    <w:rPr>
      <w:vertAlign w:val="superscript"/>
    </w:rPr>
  </w:style>
  <w:style w:type="paragraph" w:customStyle="1" w:styleId="23BodyText">
    <w:name w:val="23 Body Text"/>
    <w:basedOn w:val="Normal"/>
    <w:rsid w:val="000303E1"/>
    <w:pPr>
      <w:spacing w:after="120" w:line="264" w:lineRule="auto"/>
      <w:jc w:val="both"/>
    </w:pPr>
    <w:rPr>
      <w:rFonts w:ascii="Arial" w:eastAsia="LF_Kai" w:hAnsi="Arial" w:cs="Arial"/>
      <w:color w:val="000000"/>
      <w:sz w:val="20"/>
      <w:szCs w:val="24"/>
      <w:lang w:eastAsia="zh-CN" w:bidi="yi-Hebr"/>
    </w:rPr>
  </w:style>
  <w:style w:type="paragraph" w:customStyle="1" w:styleId="Bullet1">
    <w:name w:val="Bullet 1"/>
    <w:basedOn w:val="23BodyText"/>
    <w:rsid w:val="000303E1"/>
    <w:pPr>
      <w:ind w:left="720" w:hanging="720"/>
      <w:contextualSpacing/>
    </w:pPr>
  </w:style>
  <w:style w:type="paragraph" w:customStyle="1" w:styleId="Default">
    <w:name w:val="Default"/>
    <w:basedOn w:val="Normal"/>
    <w:rsid w:val="00A83C8C"/>
    <w:pPr>
      <w:autoSpaceDE w:val="0"/>
      <w:autoSpaceDN w:val="0"/>
      <w:spacing w:after="0" w:line="240" w:lineRule="auto"/>
    </w:pPr>
    <w:rPr>
      <w:rFonts w:ascii="Arial" w:hAnsi="Arial" w:cs="Arial"/>
      <w:color w:val="00000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463576">
      <w:bodyDiv w:val="1"/>
      <w:marLeft w:val="0"/>
      <w:marRight w:val="0"/>
      <w:marTop w:val="0"/>
      <w:marBottom w:val="0"/>
      <w:divBdr>
        <w:top w:val="none" w:sz="0" w:space="0" w:color="auto"/>
        <w:left w:val="none" w:sz="0" w:space="0" w:color="auto"/>
        <w:bottom w:val="none" w:sz="0" w:space="0" w:color="auto"/>
        <w:right w:val="none" w:sz="0" w:space="0" w:color="auto"/>
      </w:divBdr>
    </w:div>
    <w:div w:id="549457525">
      <w:bodyDiv w:val="1"/>
      <w:marLeft w:val="0"/>
      <w:marRight w:val="0"/>
      <w:marTop w:val="0"/>
      <w:marBottom w:val="0"/>
      <w:divBdr>
        <w:top w:val="none" w:sz="0" w:space="0" w:color="auto"/>
        <w:left w:val="none" w:sz="0" w:space="0" w:color="auto"/>
        <w:bottom w:val="none" w:sz="0" w:space="0" w:color="auto"/>
        <w:right w:val="none" w:sz="0" w:space="0" w:color="auto"/>
      </w:divBdr>
    </w:div>
    <w:div w:id="1131291115">
      <w:bodyDiv w:val="1"/>
      <w:marLeft w:val="0"/>
      <w:marRight w:val="0"/>
      <w:marTop w:val="0"/>
      <w:marBottom w:val="0"/>
      <w:divBdr>
        <w:top w:val="none" w:sz="0" w:space="0" w:color="auto"/>
        <w:left w:val="none" w:sz="0" w:space="0" w:color="auto"/>
        <w:bottom w:val="none" w:sz="0" w:space="0" w:color="auto"/>
        <w:right w:val="none" w:sz="0" w:space="0" w:color="auto"/>
      </w:divBdr>
    </w:div>
    <w:div w:id="1678464989">
      <w:bodyDiv w:val="1"/>
      <w:marLeft w:val="0"/>
      <w:marRight w:val="0"/>
      <w:marTop w:val="0"/>
      <w:marBottom w:val="0"/>
      <w:divBdr>
        <w:top w:val="none" w:sz="0" w:space="0" w:color="auto"/>
        <w:left w:val="none" w:sz="0" w:space="0" w:color="auto"/>
        <w:bottom w:val="none" w:sz="0" w:space="0" w:color="auto"/>
        <w:right w:val="none" w:sz="0" w:space="0" w:color="auto"/>
      </w:divBdr>
    </w:div>
    <w:div w:id="1819497561">
      <w:bodyDiv w:val="1"/>
      <w:marLeft w:val="0"/>
      <w:marRight w:val="0"/>
      <w:marTop w:val="0"/>
      <w:marBottom w:val="0"/>
      <w:divBdr>
        <w:top w:val="none" w:sz="0" w:space="0" w:color="auto"/>
        <w:left w:val="none" w:sz="0" w:space="0" w:color="auto"/>
        <w:bottom w:val="none" w:sz="0" w:space="0" w:color="auto"/>
        <w:right w:val="none" w:sz="0" w:space="0" w:color="auto"/>
      </w:divBdr>
    </w:div>
    <w:div w:id="182677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jpmorgan.com/jpmpdf/1320748011586.pdf" TargetMode="External"/><Relationship Id="rId18" Type="http://schemas.openxmlformats.org/officeDocument/2006/relationships/hyperlink" Target="https://www.jpmorgan.com/directdoc/mifidii-appendix2-cash-equities-policy.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jpmorgan.com/global/disclosures/mifidii" TargetMode="External"/><Relationship Id="rId17" Type="http://schemas.openxmlformats.org/officeDocument/2006/relationships/hyperlink" Target="https://www.jpmorgan.com/jpmpdf/1320748011586.pdf" TargetMode="External"/><Relationship Id="rId2" Type="http://schemas.openxmlformats.org/officeDocument/2006/relationships/customXml" Target="../customXml/item2.xml"/><Relationship Id="rId16" Type="http://schemas.openxmlformats.org/officeDocument/2006/relationships/hyperlink" Target="https://www.jpmorgan.com/jpmpdf/1320748011586.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jpmorgan.com/jpmpdf/1320748009327.pdf" TargetMode="External"/><Relationship Id="rId5" Type="http://schemas.openxmlformats.org/officeDocument/2006/relationships/styles" Target="styles.xml"/><Relationship Id="rId15" Type="http://schemas.openxmlformats.org/officeDocument/2006/relationships/hyperlink" Target="https://www.jpmorgan.com/jpmpdf/1320748011586.pdf" TargetMode="External"/><Relationship Id="rId10" Type="http://schemas.openxmlformats.org/officeDocument/2006/relationships/hyperlink" Target="https://www.jpmorgan.com/jpmpdf/1320748009327.pdf"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jpmorgan.com/jpmpdf/132074801158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Workstream xmlns="7d1f7825-6765-4743-817d-89ed4ea58d4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15B97FB4B31E648B3DB1BA2A88F1E44" ma:contentTypeVersion="2" ma:contentTypeDescription="Create a new document." ma:contentTypeScope="" ma:versionID="a85ea5116c21f0c43888c1bc64c6898b">
  <xsd:schema xmlns:xsd="http://www.w3.org/2001/XMLSchema" xmlns:xs="http://www.w3.org/2001/XMLSchema" xmlns:p="http://schemas.microsoft.com/office/2006/metadata/properties" xmlns:ns2="7d1f7825-6765-4743-817d-89ed4ea58d40" targetNamespace="http://schemas.microsoft.com/office/2006/metadata/properties" ma:root="true" ma:fieldsID="f0ae0dda676d652671f0f351756d588b" ns2:_="">
    <xsd:import namespace="7d1f7825-6765-4743-817d-89ed4ea58d40"/>
    <xsd:element name="properties">
      <xsd:complexType>
        <xsd:sequence>
          <xsd:element name="documentManagement">
            <xsd:complexType>
              <xsd:all>
                <xsd:element ref="ns2:Work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f7825-6765-4743-817d-89ed4ea58d40" elementFormDefault="qualified">
    <xsd:import namespace="http://schemas.microsoft.com/office/2006/documentManagement/types"/>
    <xsd:import namespace="http://schemas.microsoft.com/office/infopath/2007/PartnerControls"/>
    <xsd:element name="Workstream" ma:index="8" nillable="true" ma:displayName="Workstream" ma:list="{936ac5ca-1532-435c-b9e0-574435a95fd7}" ma:internalName="Workstream"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BAFC86-684F-4289-8E37-8005BCDFC760}">
  <ds:schemaRefs>
    <ds:schemaRef ds:uri="http://purl.org/dc/dcmitype/"/>
    <ds:schemaRef ds:uri="7d1f7825-6765-4743-817d-89ed4ea58d40"/>
    <ds:schemaRef ds:uri="http://www.w3.org/XML/1998/namespace"/>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4C42E5F0-789D-40D0-A769-1F9B72EF00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f7825-6765-4743-817d-89ed4ea58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331CCC-31BF-4867-A15D-12653058F1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2287</Words>
  <Characters>13040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15297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v0.0.1</dc:creator>
  <cp:lastModifiedBy>Manley, Joseph J (CIB OPS, GBR)</cp:lastModifiedBy>
  <cp:revision>2</cp:revision>
  <dcterms:created xsi:type="dcterms:W3CDTF">2020-04-30T14:10:00Z</dcterms:created>
  <dcterms:modified xsi:type="dcterms:W3CDTF">2020-04-30T14:10:00Z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0x010100D15B97FB4B31E648B3DB1BA2A88F1E44</vt:lpwstr>
  </property>
</Properties>
</file>